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D273" w14:textId="77777777" w:rsidR="006B6F53" w:rsidRPr="00224AA8" w:rsidRDefault="006B6F53" w:rsidP="006B6F53">
      <w:pPr>
        <w:pStyle w:val="Heading4"/>
      </w:pPr>
      <w:r w:rsidRPr="00224AA8">
        <w:t>The FRC model is designed to work collaboratively with partner agencies as part of a linked service system to engage, empower and enable individuals, families, and the wider community to make positive and lasting change.</w:t>
      </w:r>
    </w:p>
    <w:p w14:paraId="5AB98454" w14:textId="77777777" w:rsidR="006B6F53" w:rsidRPr="00224AA8" w:rsidRDefault="006B6F53" w:rsidP="006B6F53"/>
    <w:p w14:paraId="1A1682C7" w14:textId="77777777" w:rsidR="006B6F53" w:rsidRPr="00224AA8" w:rsidRDefault="006B6F53" w:rsidP="006B6F53">
      <w:pPr>
        <w:pStyle w:val="Heading3"/>
      </w:pPr>
      <w:r w:rsidRPr="00224AA8">
        <w:t>The policy context for the FRC is aligned with, and achieves outcomes relevant to, several Queensland Government objectives and initiatives.</w:t>
      </w:r>
    </w:p>
    <w:p w14:paraId="6CA3D439" w14:textId="77777777" w:rsidR="006B6F53" w:rsidRDefault="006B6F53" w:rsidP="006B6F53">
      <w:r w:rsidRPr="00224AA8">
        <w:t>The Commission’s activities support the broader welfare reforms implemented across Cape York Peninsula since 2008 and the Queensland Government’s Objectives for the Community:</w:t>
      </w:r>
    </w:p>
    <w:p w14:paraId="641176EE" w14:textId="77777777" w:rsidR="006B6F53" w:rsidRPr="00224AA8" w:rsidRDefault="006B6F53" w:rsidP="006B6F53"/>
    <w:tbl>
      <w:tblPr>
        <w:tblW w:w="8335" w:type="dxa"/>
        <w:tblInd w:w="-5" w:type="dxa"/>
        <w:tblLayout w:type="fixed"/>
        <w:tblLook w:val="04A0" w:firstRow="1" w:lastRow="0" w:firstColumn="1" w:lastColumn="0" w:noHBand="0" w:noVBand="1"/>
      </w:tblPr>
      <w:tblGrid>
        <w:gridCol w:w="8335"/>
      </w:tblGrid>
      <w:tr w:rsidR="006B6F53" w:rsidRPr="00224AA8" w14:paraId="32F549AD" w14:textId="77777777" w:rsidTr="00594D14">
        <w:trPr>
          <w:trHeight w:val="284"/>
        </w:trPr>
        <w:tc>
          <w:tcPr>
            <w:tcW w:w="833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0D0C7BC7" w14:textId="77777777" w:rsidR="006B6F53" w:rsidRPr="00224AA8" w:rsidRDefault="006B6F53" w:rsidP="00594D14">
            <w:pPr>
              <w:spacing w:before="60" w:after="60"/>
              <w:rPr>
                <w:b/>
                <w:bCs/>
                <w:color w:val="FFFFFF" w:themeColor="background1"/>
              </w:rPr>
            </w:pPr>
            <w:r>
              <w:rPr>
                <w:b/>
                <w:bCs/>
                <w:color w:val="FFFFFF" w:themeColor="background1"/>
              </w:rPr>
              <w:t>Safety where you live</w:t>
            </w:r>
          </w:p>
        </w:tc>
      </w:tr>
      <w:tr w:rsidR="006B6F53" w:rsidRPr="00224AA8" w14:paraId="4708D40B" w14:textId="77777777" w:rsidTr="00594D14">
        <w:trPr>
          <w:trHeight w:val="284"/>
        </w:trPr>
        <w:tc>
          <w:tcPr>
            <w:tcW w:w="8335" w:type="dxa"/>
            <w:tcBorders>
              <w:top w:val="single" w:sz="4" w:space="0" w:color="auto"/>
              <w:left w:val="single" w:sz="4" w:space="0" w:color="auto"/>
              <w:bottom w:val="single" w:sz="4" w:space="0" w:color="auto"/>
              <w:right w:val="single" w:sz="4" w:space="0" w:color="auto"/>
            </w:tcBorders>
            <w:noWrap/>
            <w:vAlign w:val="center"/>
          </w:tcPr>
          <w:p w14:paraId="07183729" w14:textId="77777777" w:rsidR="006B6F53" w:rsidRPr="001F5CA8" w:rsidRDefault="006B6F53" w:rsidP="00594D14">
            <w:pPr>
              <w:spacing w:before="60"/>
              <w:rPr>
                <w:rFonts w:cs="Arial"/>
                <w:szCs w:val="20"/>
              </w:rPr>
            </w:pPr>
            <w:r w:rsidRPr="001F5CA8">
              <w:rPr>
                <w:rFonts w:cs="Arial"/>
                <w:b/>
                <w:bCs/>
                <w:szCs w:val="20"/>
              </w:rPr>
              <w:t>Making Queensland safer</w:t>
            </w:r>
            <w:r>
              <w:rPr>
                <w:rFonts w:cs="Arial"/>
                <w:szCs w:val="20"/>
              </w:rPr>
              <w:t xml:space="preserve"> with stronger laws, better-equipped courts and more police with better tools, while restoring consequences for actions, fixing our Child Safety system, ensuring early intervention and a bigger focus on rehabilitation, giving victims more rights and better support, and taking critical action to arrest skyrocketing rates of domestic and family violence.</w:t>
            </w:r>
          </w:p>
        </w:tc>
      </w:tr>
      <w:tr w:rsidR="006B6F53" w:rsidRPr="001F5CA8" w14:paraId="0F2A5E7C" w14:textId="77777777" w:rsidTr="00594D14">
        <w:trPr>
          <w:trHeight w:val="284"/>
        </w:trPr>
        <w:tc>
          <w:tcPr>
            <w:tcW w:w="833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8BB9405" w14:textId="77777777" w:rsidR="006B6F53" w:rsidRPr="001F5CA8" w:rsidRDefault="006B6F53" w:rsidP="00594D14">
            <w:pPr>
              <w:spacing w:before="60" w:after="60"/>
              <w:rPr>
                <w:b/>
                <w:bCs/>
                <w:color w:val="FFFFFF" w:themeColor="background1"/>
              </w:rPr>
            </w:pPr>
            <w:r w:rsidRPr="001F5CA8">
              <w:rPr>
                <w:b/>
                <w:bCs/>
                <w:color w:val="FFFFFF" w:themeColor="background1"/>
              </w:rPr>
              <w:t>Health services when you need them</w:t>
            </w:r>
          </w:p>
        </w:tc>
      </w:tr>
      <w:tr w:rsidR="006B6F53" w:rsidRPr="00224AA8" w14:paraId="6A9BAA93" w14:textId="77777777" w:rsidTr="00594D14">
        <w:trPr>
          <w:trHeight w:val="284"/>
        </w:trPr>
        <w:tc>
          <w:tcPr>
            <w:tcW w:w="8335" w:type="dxa"/>
            <w:tcBorders>
              <w:top w:val="single" w:sz="4" w:space="0" w:color="auto"/>
              <w:left w:val="single" w:sz="4" w:space="0" w:color="auto"/>
              <w:bottom w:val="single" w:sz="4" w:space="0" w:color="auto"/>
              <w:right w:val="single" w:sz="4" w:space="0" w:color="auto"/>
            </w:tcBorders>
            <w:vAlign w:val="center"/>
          </w:tcPr>
          <w:p w14:paraId="67776647" w14:textId="77777777" w:rsidR="006B6F53" w:rsidRPr="001F5CA8" w:rsidRDefault="006B6F53" w:rsidP="00594D14">
            <w:pPr>
              <w:spacing w:before="60"/>
              <w:rPr>
                <w:rFonts w:cs="Arial"/>
                <w:szCs w:val="20"/>
              </w:rPr>
            </w:pPr>
            <w:r w:rsidRPr="006150FE">
              <w:rPr>
                <w:rFonts w:cs="Arial"/>
                <w:b/>
                <w:bCs/>
                <w:szCs w:val="20"/>
              </w:rPr>
              <w:t>Restoring health services when Queenslanders need them most</w:t>
            </w:r>
            <w:r>
              <w:rPr>
                <w:rFonts w:cs="Arial"/>
                <w:szCs w:val="20"/>
              </w:rPr>
              <w:t xml:space="preserve"> through transparent and targeted investment with real-time data, boosting frontline health services, driving resources where they’re needed most, improving our EDs, reopening regional maternity wards, fast-tracking access to elective surgeries, and helping patients to be seen faster.</w:t>
            </w:r>
          </w:p>
        </w:tc>
      </w:tr>
      <w:tr w:rsidR="006B6F53" w:rsidRPr="001F5CA8" w14:paraId="1F829DEA" w14:textId="77777777" w:rsidTr="00594D14">
        <w:trPr>
          <w:trHeight w:val="284"/>
        </w:trPr>
        <w:tc>
          <w:tcPr>
            <w:tcW w:w="833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0EBC21C" w14:textId="77777777" w:rsidR="006B6F53" w:rsidRPr="001F5CA8" w:rsidRDefault="006B6F53" w:rsidP="00594D14">
            <w:pPr>
              <w:spacing w:before="60" w:after="60"/>
              <w:rPr>
                <w:b/>
                <w:bCs/>
                <w:color w:val="FFFFFF" w:themeColor="background1"/>
              </w:rPr>
            </w:pPr>
            <w:r w:rsidRPr="001F5CA8">
              <w:rPr>
                <w:b/>
                <w:bCs/>
                <w:color w:val="FFFFFF" w:themeColor="background1"/>
              </w:rPr>
              <w:t>A better lifestyle through a stronger economy</w:t>
            </w:r>
          </w:p>
        </w:tc>
      </w:tr>
      <w:tr w:rsidR="006B6F53" w:rsidRPr="00224AA8" w14:paraId="6540AF17" w14:textId="77777777" w:rsidTr="00594D14">
        <w:trPr>
          <w:trHeight w:val="284"/>
        </w:trPr>
        <w:tc>
          <w:tcPr>
            <w:tcW w:w="8335" w:type="dxa"/>
            <w:tcBorders>
              <w:top w:val="single" w:sz="4" w:space="0" w:color="auto"/>
              <w:left w:val="single" w:sz="4" w:space="0" w:color="auto"/>
              <w:bottom w:val="single" w:sz="4" w:space="0" w:color="auto"/>
              <w:right w:val="single" w:sz="4" w:space="0" w:color="auto"/>
            </w:tcBorders>
            <w:vAlign w:val="center"/>
          </w:tcPr>
          <w:p w14:paraId="70F0E9A7" w14:textId="77777777" w:rsidR="006B6F53" w:rsidRPr="001F5CA8" w:rsidRDefault="006B6F53" w:rsidP="00594D14">
            <w:pPr>
              <w:spacing w:before="60"/>
              <w:rPr>
                <w:rFonts w:cs="Arial"/>
                <w:szCs w:val="20"/>
              </w:rPr>
            </w:pPr>
            <w:r w:rsidRPr="003C0110">
              <w:rPr>
                <w:rFonts w:cs="Arial"/>
                <w:b/>
                <w:bCs/>
                <w:szCs w:val="20"/>
              </w:rPr>
              <w:t>Growing our economy to drive down the cost of living and give Queenslanders a better lifestyle and a place to call home</w:t>
            </w:r>
            <w:r>
              <w:rPr>
                <w:rFonts w:cs="Arial"/>
                <w:szCs w:val="20"/>
              </w:rPr>
              <w:t>, by respecting your money and reinstating the Productivity Commission, growing the economy in our regions, backing small and family business, boosting home ownership, easing pressure on rents, ensuring affordable and reliable energy and public transport, taking care of Queensland’s vital existing and emerging industries, delivering more community housing and homelessness services, and boosting women’s economic security.</w:t>
            </w:r>
          </w:p>
        </w:tc>
      </w:tr>
      <w:tr w:rsidR="006B6F53" w:rsidRPr="001F5CA8" w14:paraId="30B9AB01" w14:textId="77777777" w:rsidTr="00594D14">
        <w:trPr>
          <w:trHeight w:val="284"/>
        </w:trPr>
        <w:tc>
          <w:tcPr>
            <w:tcW w:w="833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D89F645" w14:textId="77777777" w:rsidR="006B6F53" w:rsidRPr="001F5CA8" w:rsidRDefault="006B6F53" w:rsidP="00594D14">
            <w:pPr>
              <w:spacing w:before="60" w:after="60"/>
              <w:rPr>
                <w:b/>
                <w:bCs/>
                <w:color w:val="FFFFFF" w:themeColor="background1"/>
              </w:rPr>
            </w:pPr>
            <w:r w:rsidRPr="001F5CA8">
              <w:rPr>
                <w:b/>
                <w:bCs/>
                <w:color w:val="FFFFFF" w:themeColor="background1"/>
              </w:rPr>
              <w:t>A plan for Queensland’s future</w:t>
            </w:r>
          </w:p>
        </w:tc>
      </w:tr>
      <w:tr w:rsidR="006B6F53" w:rsidRPr="00224AA8" w14:paraId="4649E5C5" w14:textId="77777777" w:rsidTr="00594D14">
        <w:trPr>
          <w:trHeight w:val="284"/>
        </w:trPr>
        <w:tc>
          <w:tcPr>
            <w:tcW w:w="8335" w:type="dxa"/>
            <w:tcBorders>
              <w:top w:val="single" w:sz="4" w:space="0" w:color="auto"/>
              <w:left w:val="single" w:sz="4" w:space="0" w:color="auto"/>
              <w:bottom w:val="single" w:sz="4" w:space="0" w:color="auto"/>
              <w:right w:val="single" w:sz="4" w:space="0" w:color="auto"/>
            </w:tcBorders>
            <w:vAlign w:val="center"/>
          </w:tcPr>
          <w:p w14:paraId="5DE21B9B" w14:textId="77777777" w:rsidR="006B6F53" w:rsidRPr="001F5CA8" w:rsidRDefault="006B6F53" w:rsidP="00594D14">
            <w:pPr>
              <w:spacing w:before="60"/>
              <w:rPr>
                <w:rFonts w:cs="Arial"/>
                <w:szCs w:val="20"/>
              </w:rPr>
            </w:pPr>
            <w:r w:rsidRPr="00D608BA">
              <w:rPr>
                <w:rFonts w:cs="Arial"/>
                <w:b/>
                <w:bCs/>
                <w:szCs w:val="20"/>
              </w:rPr>
              <w:t>Planning for Queensland’s future</w:t>
            </w:r>
            <w:r>
              <w:rPr>
                <w:rFonts w:cs="Arial"/>
                <w:szCs w:val="20"/>
              </w:rPr>
              <w:t>, by building the roads and infrastructure needed for a growing population – including a safer Bruce Highway, putting more teachers in safer schools and preparing young Queenslanders for the future, conserving our pristine environment that draws visitors from across the world, improving water security, and delivering a world-class Olympic and Paralympic Games that leaves a positive legacy for Queenslanders.</w:t>
            </w:r>
          </w:p>
        </w:tc>
      </w:tr>
    </w:tbl>
    <w:p w14:paraId="1C0095F4" w14:textId="77777777" w:rsidR="006B6F53" w:rsidRPr="00224AA8" w:rsidRDefault="006B6F53" w:rsidP="006B6F53"/>
    <w:p w14:paraId="5D856DE2" w14:textId="77777777" w:rsidR="006B6F53" w:rsidRDefault="006B6F53" w:rsidP="006B6F53">
      <w:pPr>
        <w:spacing w:after="160" w:line="259" w:lineRule="auto"/>
      </w:pPr>
      <w:r>
        <w:br w:type="page"/>
      </w:r>
    </w:p>
    <w:p w14:paraId="62D55270" w14:textId="77777777" w:rsidR="006B6F53" w:rsidRPr="00224AA8" w:rsidRDefault="006B6F53" w:rsidP="006B6F53">
      <w:r w:rsidRPr="00224AA8">
        <w:lastRenderedPageBreak/>
        <w:t>The Commission delivers services to five communities, all of which are culturally unique and some of which are geographically remote. Each community is different, yet each can be characterised by the entrenched disadvantage of Indigenous community members. High rates of welfare dependency and multi-generational poverty have resulted in communities with individuals and their families who have complex needs.</w:t>
      </w:r>
    </w:p>
    <w:p w14:paraId="376A5333" w14:textId="77777777" w:rsidR="003668B7" w:rsidRDefault="003668B7" w:rsidP="003668B7">
      <w:r w:rsidRPr="00224AA8">
        <w:t>In meeting this challenge, the Commission works with community-based service providers and partner agencies with statutory requirements under the FRC Act</w:t>
      </w:r>
      <w:r w:rsidRPr="00224AA8">
        <w:rPr>
          <w:rStyle w:val="FootnoteReference"/>
        </w:rPr>
        <w:footnoteReference w:id="1"/>
      </w:r>
      <w:r w:rsidRPr="00224AA8">
        <w:t xml:space="preserve"> and </w:t>
      </w:r>
      <w:r>
        <w:t xml:space="preserve">the Department of Women, Aboriginal and Torres Strait Islander Partnerships and Multiculturalism (DWATSIPM), </w:t>
      </w:r>
      <w:r w:rsidRPr="00224AA8">
        <w:t>as part of a linked service system to achieve individualised client outcomes</w:t>
      </w:r>
      <w:r>
        <w:t>.</w:t>
      </w:r>
    </w:p>
    <w:p w14:paraId="0506A30C" w14:textId="77777777" w:rsidR="003668B7" w:rsidRPr="00447DD5" w:rsidRDefault="003668B7" w:rsidP="003668B7">
      <w:r w:rsidRPr="00224AA8">
        <w:t xml:space="preserve">In doing so the FRC complements several Queensland Government strategies and reforms </w:t>
      </w:r>
      <w:r>
        <w:t>including the ‘</w:t>
      </w:r>
      <w:r w:rsidRPr="00A02AC8">
        <w:rPr>
          <w:i/>
          <w:iCs/>
          <w:szCs w:val="20"/>
        </w:rPr>
        <w:t xml:space="preserve">Our Way’ strategy </w:t>
      </w:r>
      <w:r w:rsidRPr="00A02AC8">
        <w:rPr>
          <w:szCs w:val="20"/>
        </w:rPr>
        <w:t>and</w:t>
      </w:r>
      <w:r w:rsidRPr="00A02AC8">
        <w:rPr>
          <w:i/>
          <w:iCs/>
          <w:szCs w:val="20"/>
        </w:rPr>
        <w:t xml:space="preserve"> ‘Breaking Cycles’ action plan</w:t>
      </w:r>
      <w:r>
        <w:t xml:space="preserve">. The Strategy outlines </w:t>
      </w:r>
      <w:r w:rsidRPr="00224AA8">
        <w:t>build</w:t>
      </w:r>
      <w:r>
        <w:t>ing</w:t>
      </w:r>
      <w:r w:rsidRPr="00224AA8">
        <w:t xml:space="preserve"> upon existing initiatives such as the FRC to ensure Indigenous children grow up in a safe and nurturing environment and address the over-representation of Indigenous children in Queensland’s child protection system. A detailed analysis of the alignment between the ‘</w:t>
      </w:r>
      <w:r w:rsidRPr="00224AA8">
        <w:rPr>
          <w:i/>
          <w:iCs/>
        </w:rPr>
        <w:t>Our Way</w:t>
      </w:r>
      <w:r w:rsidRPr="00224AA8">
        <w:t>’ strategy and the FRC Act can be found at Appendix B</w:t>
      </w:r>
      <w:r>
        <w:t>.</w:t>
      </w:r>
    </w:p>
    <w:p w14:paraId="302D5C5D" w14:textId="77777777" w:rsidR="006B6F53" w:rsidRDefault="006B6F53" w:rsidP="006B6F53"/>
    <w:p w14:paraId="573D2DD5" w14:textId="77777777" w:rsidR="006B6F53" w:rsidRPr="00224AA8" w:rsidRDefault="006B6F53" w:rsidP="006B6F53">
      <w:pPr>
        <w:pStyle w:val="Heading3"/>
      </w:pPr>
      <w:r w:rsidRPr="00224AA8">
        <w:t>The FRC’s performance and activity data show linkages between client outcomes and the FRC’s strategic objectives and indicators.</w:t>
      </w:r>
    </w:p>
    <w:p w14:paraId="0B2F9494" w14:textId="77777777" w:rsidR="003668B7" w:rsidRPr="00224AA8" w:rsidRDefault="003668B7" w:rsidP="003668B7">
      <w:r w:rsidRPr="00224AA8">
        <w:t>The following statistical report and analysis of the Commission’s non-financial performance outcomes is for the period 1 July 202</w:t>
      </w:r>
      <w:r>
        <w:t>4</w:t>
      </w:r>
      <w:r w:rsidRPr="00224AA8">
        <w:t xml:space="preserve"> to 30 June 202</w:t>
      </w:r>
      <w:r>
        <w:t>5</w:t>
      </w:r>
      <w:r w:rsidRPr="00224AA8">
        <w:t>. This data, additional to the statistical information cited elsewhere in this report, is used by the FRC’s EMT to monitor the organisation’s progress in achieving the main objectives of the Strategic Plan 2023-2</w:t>
      </w:r>
      <w:r>
        <w:t>02</w:t>
      </w:r>
      <w:r w:rsidRPr="00224AA8">
        <w:t>7.</w:t>
      </w:r>
    </w:p>
    <w:p w14:paraId="5B3FC2DE" w14:textId="77777777" w:rsidR="006B6F53" w:rsidRPr="00224AA8" w:rsidRDefault="006B6F53" w:rsidP="006B6F53"/>
    <w:p w14:paraId="3823B2A3" w14:textId="77777777" w:rsidR="006B6F53" w:rsidRPr="00224AA8" w:rsidRDefault="006B6F53" w:rsidP="006B6F53">
      <w:pPr>
        <w:pStyle w:val="Heading3"/>
      </w:pPr>
      <w:r w:rsidRPr="00224AA8">
        <w:t>The FRC knows its clients and communities.</w:t>
      </w:r>
    </w:p>
    <w:p w14:paraId="306186F2" w14:textId="6052D5E7" w:rsidR="00DF1859" w:rsidRDefault="00DF1859" w:rsidP="00DF1859">
      <w:pPr>
        <w:rPr>
          <w:lang w:val="en-US"/>
        </w:rPr>
      </w:pPr>
      <w:r w:rsidRPr="00224AA8">
        <w:rPr>
          <w:lang w:val="en-US"/>
        </w:rPr>
        <w:t>From 1 July 202</w:t>
      </w:r>
      <w:r>
        <w:rPr>
          <w:lang w:val="en-US"/>
        </w:rPr>
        <w:t>4</w:t>
      </w:r>
      <w:r w:rsidRPr="00224AA8">
        <w:rPr>
          <w:lang w:val="en-US"/>
        </w:rPr>
        <w:t xml:space="preserve"> to 30 June 202</w:t>
      </w:r>
      <w:r>
        <w:rPr>
          <w:lang w:val="en-US"/>
        </w:rPr>
        <w:t>5</w:t>
      </w:r>
      <w:r w:rsidRPr="00224AA8">
        <w:rPr>
          <w:lang w:val="en-US"/>
        </w:rPr>
        <w:t xml:space="preserve">, the Commission received a total of </w:t>
      </w:r>
      <w:r>
        <w:rPr>
          <w:lang w:val="en-US"/>
        </w:rPr>
        <w:t>6,8</w:t>
      </w:r>
      <w:r w:rsidR="008C02C9">
        <w:rPr>
          <w:lang w:val="en-US"/>
        </w:rPr>
        <w:t>31</w:t>
      </w:r>
      <w:r w:rsidRPr="00224AA8">
        <w:rPr>
          <w:lang w:val="en-US"/>
        </w:rPr>
        <w:t xml:space="preserve"> agency notices </w:t>
      </w:r>
      <w:r>
        <w:rPr>
          <w:lang w:val="en-US"/>
        </w:rPr>
        <w:t xml:space="preserve">for which jurisdiction could be determined </w:t>
      </w:r>
      <w:r w:rsidRPr="00224AA8">
        <w:rPr>
          <w:lang w:val="en-US"/>
        </w:rPr>
        <w:t xml:space="preserve">across a range of notifiable behaviours of which </w:t>
      </w:r>
      <w:r>
        <w:rPr>
          <w:lang w:val="en-US"/>
        </w:rPr>
        <w:t>4,59</w:t>
      </w:r>
      <w:r w:rsidR="008C02C9">
        <w:rPr>
          <w:lang w:val="en-US"/>
        </w:rPr>
        <w:t>5</w:t>
      </w:r>
      <w:r>
        <w:rPr>
          <w:lang w:val="en-US"/>
        </w:rPr>
        <w:t xml:space="preserve"> </w:t>
      </w:r>
      <w:r w:rsidRPr="00224AA8">
        <w:rPr>
          <w:lang w:val="en-US"/>
        </w:rPr>
        <w:t>notices relating to 1,1</w:t>
      </w:r>
      <w:r>
        <w:rPr>
          <w:lang w:val="en-US"/>
        </w:rPr>
        <w:t>45</w:t>
      </w:r>
      <w:r w:rsidRPr="00224AA8">
        <w:rPr>
          <w:lang w:val="en-US"/>
        </w:rPr>
        <w:t xml:space="preserve"> clients were within jurisdiction, comprising:</w:t>
      </w:r>
    </w:p>
    <w:p w14:paraId="3D9CEBDC" w14:textId="77777777" w:rsidR="006B6F53" w:rsidRPr="00224AA8" w:rsidRDefault="006B6F53" w:rsidP="006B6F53">
      <w:pPr>
        <w:rPr>
          <w:rFonts w:cs="Arial"/>
          <w:b/>
          <w:bCs/>
          <w:szCs w:val="20"/>
        </w:rPr>
      </w:pPr>
      <w:r w:rsidRPr="00224AA8">
        <w:rPr>
          <w:rFonts w:cs="Arial"/>
          <w:b/>
          <w:bCs/>
          <w:sz w:val="17"/>
          <w:szCs w:val="17"/>
        </w:rPr>
        <w:t xml:space="preserve">Table </w:t>
      </w:r>
      <w:r>
        <w:rPr>
          <w:rFonts w:cs="Arial"/>
          <w:b/>
          <w:bCs/>
          <w:sz w:val="17"/>
          <w:szCs w:val="17"/>
        </w:rPr>
        <w:t>1</w:t>
      </w:r>
      <w:r w:rsidRPr="00224AA8">
        <w:rPr>
          <w:rFonts w:cs="Arial"/>
          <w:b/>
          <w:bCs/>
          <w:sz w:val="17"/>
          <w:szCs w:val="17"/>
        </w:rPr>
        <w:t>: In jurisdiction notices by community and quarter 1 July 202</w:t>
      </w:r>
      <w:r>
        <w:rPr>
          <w:rFonts w:cs="Arial"/>
          <w:b/>
          <w:bCs/>
          <w:sz w:val="17"/>
          <w:szCs w:val="17"/>
        </w:rPr>
        <w:t>4</w:t>
      </w:r>
      <w:r w:rsidRPr="00224AA8">
        <w:rPr>
          <w:rFonts w:cs="Arial"/>
          <w:b/>
          <w:bCs/>
          <w:sz w:val="17"/>
          <w:szCs w:val="17"/>
        </w:rPr>
        <w:t xml:space="preserve"> to 30 June 202</w:t>
      </w:r>
      <w:r>
        <w:rPr>
          <w:rFonts w:cs="Arial"/>
          <w:b/>
          <w:bCs/>
          <w:sz w:val="17"/>
          <w:szCs w:val="17"/>
        </w:rPr>
        <w:t>5</w:t>
      </w:r>
    </w:p>
    <w:tbl>
      <w:tblPr>
        <w:tblW w:w="7656" w:type="dxa"/>
        <w:tblInd w:w="108" w:type="dxa"/>
        <w:tblLook w:val="04A0" w:firstRow="1" w:lastRow="0" w:firstColumn="1" w:lastColumn="0" w:noHBand="0" w:noVBand="1"/>
      </w:tblPr>
      <w:tblGrid>
        <w:gridCol w:w="2694"/>
        <w:gridCol w:w="992"/>
        <w:gridCol w:w="992"/>
        <w:gridCol w:w="992"/>
        <w:gridCol w:w="993"/>
        <w:gridCol w:w="993"/>
      </w:tblGrid>
      <w:tr w:rsidR="006B6F53" w:rsidRPr="00224AA8" w14:paraId="5CCEC3A1" w14:textId="77777777" w:rsidTr="00594D14">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481134CF" w14:textId="77777777" w:rsidR="006B6F53" w:rsidRPr="00224AA8" w:rsidRDefault="006B6F53" w:rsidP="00594D14">
            <w:pPr>
              <w:spacing w:before="60" w:after="60"/>
              <w:rPr>
                <w:b/>
                <w:bCs/>
                <w:color w:val="FFFFFF" w:themeColor="background1"/>
              </w:rPr>
            </w:pPr>
            <w:r w:rsidRPr="00224AA8">
              <w:rPr>
                <w:b/>
                <w:bCs/>
                <w:color w:val="FFFFFF" w:themeColor="background1"/>
              </w:rPr>
              <w:t>Number of notices</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tcPr>
          <w:p w14:paraId="5723B387"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5</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tcPr>
          <w:p w14:paraId="0FAB2314"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6</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tcPr>
          <w:p w14:paraId="336D725C"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7</w:t>
            </w:r>
          </w:p>
        </w:tc>
        <w:tc>
          <w:tcPr>
            <w:tcW w:w="993" w:type="dxa"/>
            <w:tcBorders>
              <w:top w:val="single" w:sz="4" w:space="0" w:color="auto"/>
              <w:left w:val="nil"/>
              <w:bottom w:val="single" w:sz="4" w:space="0" w:color="auto"/>
              <w:right w:val="single" w:sz="4" w:space="0" w:color="auto"/>
            </w:tcBorders>
            <w:shd w:val="clear" w:color="auto" w:fill="808080" w:themeFill="background1" w:themeFillShade="80"/>
          </w:tcPr>
          <w:p w14:paraId="08C900D4"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8</w:t>
            </w:r>
          </w:p>
        </w:tc>
        <w:tc>
          <w:tcPr>
            <w:tcW w:w="993" w:type="dxa"/>
            <w:tcBorders>
              <w:top w:val="single" w:sz="4" w:space="0" w:color="auto"/>
              <w:left w:val="nil"/>
              <w:bottom w:val="single" w:sz="4" w:space="0" w:color="auto"/>
              <w:right w:val="single" w:sz="4" w:space="0" w:color="auto"/>
            </w:tcBorders>
            <w:shd w:val="clear" w:color="auto" w:fill="808080" w:themeFill="background1" w:themeFillShade="80"/>
          </w:tcPr>
          <w:p w14:paraId="22316A7B"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Total</w:t>
            </w:r>
          </w:p>
        </w:tc>
      </w:tr>
      <w:tr w:rsidR="00812304" w:rsidRPr="00224AA8" w14:paraId="7E947DEC" w14:textId="77777777" w:rsidTr="00594D14">
        <w:trPr>
          <w:trHeight w:val="255"/>
        </w:trPr>
        <w:tc>
          <w:tcPr>
            <w:tcW w:w="2694" w:type="dxa"/>
            <w:tcBorders>
              <w:top w:val="nil"/>
              <w:left w:val="single" w:sz="4" w:space="0" w:color="auto"/>
              <w:bottom w:val="single" w:sz="4" w:space="0" w:color="auto"/>
              <w:right w:val="single" w:sz="4" w:space="0" w:color="auto"/>
            </w:tcBorders>
            <w:noWrap/>
            <w:hideMark/>
          </w:tcPr>
          <w:p w14:paraId="0333D441" w14:textId="77777777" w:rsidR="00812304" w:rsidRPr="00224AA8" w:rsidRDefault="00812304" w:rsidP="00812304">
            <w:pPr>
              <w:spacing w:before="60" w:after="60"/>
            </w:pPr>
            <w:r w:rsidRPr="00224AA8">
              <w:t>Aurukun</w:t>
            </w:r>
          </w:p>
        </w:tc>
        <w:tc>
          <w:tcPr>
            <w:tcW w:w="992" w:type="dxa"/>
            <w:tcBorders>
              <w:top w:val="nil"/>
              <w:left w:val="nil"/>
              <w:bottom w:val="single" w:sz="4" w:space="0" w:color="auto"/>
              <w:right w:val="single" w:sz="4" w:space="0" w:color="auto"/>
            </w:tcBorders>
          </w:tcPr>
          <w:p w14:paraId="76627024" w14:textId="78A6F719" w:rsidR="00812304" w:rsidRPr="007F61EF" w:rsidRDefault="00812304" w:rsidP="00812304">
            <w:pPr>
              <w:spacing w:before="60" w:after="60"/>
              <w:jc w:val="right"/>
              <w:rPr>
                <w:rFonts w:cs="Arial"/>
              </w:rPr>
            </w:pPr>
            <w:r w:rsidRPr="007F61EF">
              <w:rPr>
                <w:rFonts w:cs="Arial"/>
                <w:szCs w:val="20"/>
              </w:rPr>
              <w:t>514</w:t>
            </w:r>
          </w:p>
        </w:tc>
        <w:tc>
          <w:tcPr>
            <w:tcW w:w="992" w:type="dxa"/>
            <w:tcBorders>
              <w:top w:val="nil"/>
              <w:left w:val="nil"/>
              <w:bottom w:val="single" w:sz="4" w:space="0" w:color="auto"/>
              <w:right w:val="single" w:sz="4" w:space="0" w:color="auto"/>
            </w:tcBorders>
          </w:tcPr>
          <w:p w14:paraId="39750D91" w14:textId="34B23793" w:rsidR="00812304" w:rsidRPr="007F61EF" w:rsidRDefault="00812304" w:rsidP="00812304">
            <w:pPr>
              <w:spacing w:before="60" w:after="60"/>
              <w:jc w:val="right"/>
              <w:rPr>
                <w:rFonts w:cs="Arial"/>
              </w:rPr>
            </w:pPr>
            <w:r w:rsidRPr="007F61EF">
              <w:rPr>
                <w:rFonts w:cs="Arial"/>
                <w:szCs w:val="20"/>
              </w:rPr>
              <w:t>506</w:t>
            </w:r>
          </w:p>
        </w:tc>
        <w:tc>
          <w:tcPr>
            <w:tcW w:w="992" w:type="dxa"/>
            <w:tcBorders>
              <w:top w:val="nil"/>
              <w:left w:val="nil"/>
              <w:bottom w:val="single" w:sz="4" w:space="0" w:color="auto"/>
              <w:right w:val="single" w:sz="4" w:space="0" w:color="auto"/>
            </w:tcBorders>
          </w:tcPr>
          <w:p w14:paraId="5A96413A" w14:textId="1FE6A5BE" w:rsidR="00812304" w:rsidRPr="007F61EF" w:rsidRDefault="00812304" w:rsidP="00812304">
            <w:pPr>
              <w:spacing w:before="60" w:after="60"/>
              <w:jc w:val="right"/>
              <w:rPr>
                <w:rFonts w:cs="Arial"/>
              </w:rPr>
            </w:pPr>
            <w:r w:rsidRPr="007F61EF">
              <w:rPr>
                <w:rFonts w:cs="Arial"/>
                <w:szCs w:val="20"/>
              </w:rPr>
              <w:t>418</w:t>
            </w:r>
          </w:p>
        </w:tc>
        <w:tc>
          <w:tcPr>
            <w:tcW w:w="993" w:type="dxa"/>
            <w:tcBorders>
              <w:top w:val="nil"/>
              <w:left w:val="nil"/>
              <w:bottom w:val="single" w:sz="4" w:space="0" w:color="auto"/>
              <w:right w:val="single" w:sz="4" w:space="0" w:color="auto"/>
            </w:tcBorders>
          </w:tcPr>
          <w:p w14:paraId="515127D5" w14:textId="0298C32A" w:rsidR="00812304" w:rsidRPr="007F61EF" w:rsidRDefault="00812304" w:rsidP="00812304">
            <w:pPr>
              <w:spacing w:before="60" w:after="60"/>
              <w:jc w:val="right"/>
              <w:rPr>
                <w:rFonts w:cs="Arial"/>
              </w:rPr>
            </w:pPr>
            <w:r w:rsidRPr="007F61EF">
              <w:rPr>
                <w:rFonts w:cs="Arial"/>
                <w:szCs w:val="20"/>
              </w:rPr>
              <w:t>45</w:t>
            </w:r>
            <w:r w:rsidR="008C02C9">
              <w:rPr>
                <w:rFonts w:cs="Arial"/>
                <w:szCs w:val="20"/>
              </w:rPr>
              <w:t>9</w:t>
            </w:r>
          </w:p>
        </w:tc>
        <w:tc>
          <w:tcPr>
            <w:tcW w:w="993" w:type="dxa"/>
            <w:tcBorders>
              <w:top w:val="nil"/>
              <w:left w:val="nil"/>
              <w:bottom w:val="single" w:sz="4" w:space="0" w:color="auto"/>
              <w:right w:val="single" w:sz="4" w:space="0" w:color="auto"/>
            </w:tcBorders>
          </w:tcPr>
          <w:p w14:paraId="31720772" w14:textId="39286A9D" w:rsidR="00812304" w:rsidRPr="007F61EF" w:rsidRDefault="00812304" w:rsidP="00812304">
            <w:pPr>
              <w:spacing w:before="60" w:after="60"/>
              <w:jc w:val="right"/>
              <w:rPr>
                <w:rFonts w:cs="Arial"/>
                <w:b/>
                <w:bCs/>
              </w:rPr>
            </w:pPr>
            <w:r w:rsidRPr="007F61EF">
              <w:rPr>
                <w:rFonts w:cs="Arial"/>
                <w:b/>
                <w:bCs/>
                <w:szCs w:val="20"/>
              </w:rPr>
              <w:t>1,89</w:t>
            </w:r>
            <w:r w:rsidR="008C02C9">
              <w:rPr>
                <w:rFonts w:cs="Arial"/>
                <w:b/>
                <w:bCs/>
                <w:szCs w:val="20"/>
              </w:rPr>
              <w:t>7</w:t>
            </w:r>
          </w:p>
        </w:tc>
      </w:tr>
      <w:tr w:rsidR="00812304" w:rsidRPr="00224AA8" w14:paraId="44574048" w14:textId="77777777" w:rsidTr="00594D14">
        <w:trPr>
          <w:trHeight w:val="255"/>
        </w:trPr>
        <w:tc>
          <w:tcPr>
            <w:tcW w:w="2694" w:type="dxa"/>
            <w:tcBorders>
              <w:top w:val="nil"/>
              <w:left w:val="single" w:sz="4" w:space="0" w:color="auto"/>
              <w:bottom w:val="single" w:sz="4" w:space="0" w:color="auto"/>
              <w:right w:val="single" w:sz="4" w:space="0" w:color="auto"/>
            </w:tcBorders>
            <w:noWrap/>
            <w:hideMark/>
          </w:tcPr>
          <w:p w14:paraId="21AFBAF3" w14:textId="77777777" w:rsidR="00812304" w:rsidRPr="00224AA8" w:rsidRDefault="00812304" w:rsidP="00812304">
            <w:pPr>
              <w:spacing w:before="60" w:after="60"/>
            </w:pPr>
            <w:r w:rsidRPr="00224AA8">
              <w:t>Coen</w:t>
            </w:r>
          </w:p>
        </w:tc>
        <w:tc>
          <w:tcPr>
            <w:tcW w:w="992" w:type="dxa"/>
            <w:tcBorders>
              <w:top w:val="nil"/>
              <w:left w:val="nil"/>
              <w:bottom w:val="single" w:sz="4" w:space="0" w:color="auto"/>
              <w:right w:val="single" w:sz="4" w:space="0" w:color="auto"/>
            </w:tcBorders>
          </w:tcPr>
          <w:p w14:paraId="6DA3CBA0" w14:textId="1B4745FA" w:rsidR="00812304" w:rsidRPr="007F61EF" w:rsidRDefault="00812304" w:rsidP="00812304">
            <w:pPr>
              <w:spacing w:before="60" w:after="60"/>
              <w:jc w:val="right"/>
              <w:rPr>
                <w:rFonts w:cs="Arial"/>
              </w:rPr>
            </w:pPr>
            <w:r w:rsidRPr="007F61EF">
              <w:rPr>
                <w:rFonts w:cs="Arial"/>
                <w:szCs w:val="20"/>
              </w:rPr>
              <w:t>58</w:t>
            </w:r>
          </w:p>
        </w:tc>
        <w:tc>
          <w:tcPr>
            <w:tcW w:w="992" w:type="dxa"/>
            <w:tcBorders>
              <w:top w:val="nil"/>
              <w:left w:val="nil"/>
              <w:bottom w:val="single" w:sz="4" w:space="0" w:color="auto"/>
              <w:right w:val="single" w:sz="4" w:space="0" w:color="auto"/>
            </w:tcBorders>
          </w:tcPr>
          <w:p w14:paraId="3FC7A0AD" w14:textId="75AF7F08" w:rsidR="00812304" w:rsidRPr="007F61EF" w:rsidRDefault="00812304" w:rsidP="00812304">
            <w:pPr>
              <w:spacing w:before="60" w:after="60"/>
              <w:jc w:val="right"/>
              <w:rPr>
                <w:rFonts w:cs="Arial"/>
              </w:rPr>
            </w:pPr>
            <w:r w:rsidRPr="007F61EF">
              <w:rPr>
                <w:rFonts w:cs="Arial"/>
                <w:szCs w:val="20"/>
              </w:rPr>
              <w:t>41</w:t>
            </w:r>
          </w:p>
        </w:tc>
        <w:tc>
          <w:tcPr>
            <w:tcW w:w="992" w:type="dxa"/>
            <w:tcBorders>
              <w:top w:val="nil"/>
              <w:left w:val="nil"/>
              <w:bottom w:val="single" w:sz="4" w:space="0" w:color="auto"/>
              <w:right w:val="single" w:sz="4" w:space="0" w:color="auto"/>
            </w:tcBorders>
          </w:tcPr>
          <w:p w14:paraId="686BE7E2" w14:textId="43A3FE8E" w:rsidR="00812304" w:rsidRPr="007F61EF" w:rsidRDefault="00812304" w:rsidP="00812304">
            <w:pPr>
              <w:spacing w:before="60" w:after="60"/>
              <w:jc w:val="right"/>
              <w:rPr>
                <w:rFonts w:cs="Arial"/>
              </w:rPr>
            </w:pPr>
            <w:r w:rsidRPr="007F61EF">
              <w:rPr>
                <w:rFonts w:cs="Arial"/>
                <w:szCs w:val="20"/>
              </w:rPr>
              <w:t>87</w:t>
            </w:r>
          </w:p>
        </w:tc>
        <w:tc>
          <w:tcPr>
            <w:tcW w:w="993" w:type="dxa"/>
            <w:tcBorders>
              <w:top w:val="nil"/>
              <w:left w:val="nil"/>
              <w:bottom w:val="single" w:sz="4" w:space="0" w:color="auto"/>
              <w:right w:val="single" w:sz="4" w:space="0" w:color="auto"/>
            </w:tcBorders>
          </w:tcPr>
          <w:p w14:paraId="0EABBD8B" w14:textId="39DC594F" w:rsidR="00812304" w:rsidRPr="007F61EF" w:rsidRDefault="00812304" w:rsidP="00812304">
            <w:pPr>
              <w:spacing w:before="60" w:after="60"/>
              <w:jc w:val="right"/>
              <w:rPr>
                <w:rFonts w:cs="Arial"/>
              </w:rPr>
            </w:pPr>
            <w:r w:rsidRPr="007F61EF">
              <w:rPr>
                <w:rFonts w:cs="Arial"/>
                <w:szCs w:val="20"/>
              </w:rPr>
              <w:t>28</w:t>
            </w:r>
          </w:p>
        </w:tc>
        <w:tc>
          <w:tcPr>
            <w:tcW w:w="993" w:type="dxa"/>
            <w:tcBorders>
              <w:top w:val="nil"/>
              <w:left w:val="nil"/>
              <w:bottom w:val="single" w:sz="4" w:space="0" w:color="auto"/>
              <w:right w:val="single" w:sz="4" w:space="0" w:color="auto"/>
            </w:tcBorders>
          </w:tcPr>
          <w:p w14:paraId="6D933B4F" w14:textId="2168DFDD" w:rsidR="00812304" w:rsidRPr="007F61EF" w:rsidRDefault="00812304" w:rsidP="00812304">
            <w:pPr>
              <w:spacing w:before="60" w:after="60"/>
              <w:jc w:val="right"/>
              <w:rPr>
                <w:rFonts w:cs="Arial"/>
                <w:b/>
                <w:bCs/>
              </w:rPr>
            </w:pPr>
            <w:r w:rsidRPr="007F61EF">
              <w:rPr>
                <w:rFonts w:cs="Arial"/>
                <w:b/>
                <w:bCs/>
                <w:szCs w:val="20"/>
              </w:rPr>
              <w:t>214</w:t>
            </w:r>
          </w:p>
        </w:tc>
      </w:tr>
      <w:tr w:rsidR="00812304" w:rsidRPr="00224AA8" w14:paraId="589668FE" w14:textId="77777777" w:rsidTr="00594D14">
        <w:trPr>
          <w:trHeight w:val="255"/>
        </w:trPr>
        <w:tc>
          <w:tcPr>
            <w:tcW w:w="2694" w:type="dxa"/>
            <w:tcBorders>
              <w:top w:val="nil"/>
              <w:left w:val="single" w:sz="4" w:space="0" w:color="auto"/>
              <w:bottom w:val="single" w:sz="4" w:space="0" w:color="auto"/>
              <w:right w:val="single" w:sz="4" w:space="0" w:color="auto"/>
            </w:tcBorders>
            <w:noWrap/>
            <w:hideMark/>
          </w:tcPr>
          <w:p w14:paraId="6249EA4A" w14:textId="77777777" w:rsidR="00812304" w:rsidRPr="00224AA8" w:rsidRDefault="00812304" w:rsidP="00812304">
            <w:pPr>
              <w:spacing w:before="60" w:after="60"/>
            </w:pPr>
            <w:r w:rsidRPr="00224AA8">
              <w:t>Doomadgee</w:t>
            </w:r>
          </w:p>
        </w:tc>
        <w:tc>
          <w:tcPr>
            <w:tcW w:w="992" w:type="dxa"/>
            <w:tcBorders>
              <w:top w:val="nil"/>
              <w:left w:val="nil"/>
              <w:bottom w:val="single" w:sz="4" w:space="0" w:color="auto"/>
              <w:right w:val="single" w:sz="4" w:space="0" w:color="auto"/>
            </w:tcBorders>
          </w:tcPr>
          <w:p w14:paraId="48ADF472" w14:textId="561331DB" w:rsidR="00812304" w:rsidRPr="007F61EF" w:rsidRDefault="00812304" w:rsidP="00812304">
            <w:pPr>
              <w:spacing w:before="60" w:after="60"/>
              <w:jc w:val="right"/>
              <w:rPr>
                <w:rFonts w:cs="Arial"/>
              </w:rPr>
            </w:pPr>
            <w:r w:rsidRPr="007F61EF">
              <w:rPr>
                <w:rFonts w:cs="Arial"/>
                <w:szCs w:val="20"/>
              </w:rPr>
              <w:t>358</w:t>
            </w:r>
          </w:p>
        </w:tc>
        <w:tc>
          <w:tcPr>
            <w:tcW w:w="992" w:type="dxa"/>
            <w:tcBorders>
              <w:top w:val="nil"/>
              <w:left w:val="nil"/>
              <w:bottom w:val="single" w:sz="4" w:space="0" w:color="auto"/>
              <w:right w:val="single" w:sz="4" w:space="0" w:color="auto"/>
            </w:tcBorders>
          </w:tcPr>
          <w:p w14:paraId="548791E7" w14:textId="14D1AA82" w:rsidR="00812304" w:rsidRPr="007F61EF" w:rsidRDefault="00812304" w:rsidP="00812304">
            <w:pPr>
              <w:spacing w:before="60" w:after="60"/>
              <w:jc w:val="right"/>
              <w:rPr>
                <w:rFonts w:cs="Arial"/>
              </w:rPr>
            </w:pPr>
            <w:r w:rsidRPr="007F61EF">
              <w:rPr>
                <w:rFonts w:cs="Arial"/>
                <w:szCs w:val="20"/>
              </w:rPr>
              <w:t>351</w:t>
            </w:r>
          </w:p>
        </w:tc>
        <w:tc>
          <w:tcPr>
            <w:tcW w:w="992" w:type="dxa"/>
            <w:tcBorders>
              <w:top w:val="nil"/>
              <w:left w:val="nil"/>
              <w:bottom w:val="single" w:sz="4" w:space="0" w:color="auto"/>
              <w:right w:val="single" w:sz="4" w:space="0" w:color="auto"/>
            </w:tcBorders>
          </w:tcPr>
          <w:p w14:paraId="6FF5389C" w14:textId="3922B4A7" w:rsidR="00812304" w:rsidRPr="007F61EF" w:rsidRDefault="00812304" w:rsidP="00812304">
            <w:pPr>
              <w:spacing w:before="60" w:after="60"/>
              <w:jc w:val="right"/>
              <w:rPr>
                <w:rFonts w:cs="Arial"/>
              </w:rPr>
            </w:pPr>
            <w:r w:rsidRPr="007F61EF">
              <w:rPr>
                <w:rFonts w:cs="Arial"/>
                <w:szCs w:val="20"/>
              </w:rPr>
              <w:t>324</w:t>
            </w:r>
          </w:p>
        </w:tc>
        <w:tc>
          <w:tcPr>
            <w:tcW w:w="993" w:type="dxa"/>
            <w:tcBorders>
              <w:top w:val="nil"/>
              <w:left w:val="nil"/>
              <w:bottom w:val="single" w:sz="4" w:space="0" w:color="auto"/>
              <w:right w:val="single" w:sz="4" w:space="0" w:color="auto"/>
            </w:tcBorders>
          </w:tcPr>
          <w:p w14:paraId="2D89B5E1" w14:textId="5EC19B56" w:rsidR="00812304" w:rsidRPr="007F61EF" w:rsidRDefault="00812304" w:rsidP="00812304">
            <w:pPr>
              <w:spacing w:before="60" w:after="60"/>
              <w:jc w:val="right"/>
              <w:rPr>
                <w:rFonts w:cs="Arial"/>
              </w:rPr>
            </w:pPr>
            <w:r w:rsidRPr="007F61EF">
              <w:rPr>
                <w:rFonts w:cs="Arial"/>
                <w:szCs w:val="20"/>
              </w:rPr>
              <w:t>350</w:t>
            </w:r>
          </w:p>
        </w:tc>
        <w:tc>
          <w:tcPr>
            <w:tcW w:w="993" w:type="dxa"/>
            <w:tcBorders>
              <w:top w:val="nil"/>
              <w:left w:val="nil"/>
              <w:bottom w:val="single" w:sz="4" w:space="0" w:color="auto"/>
              <w:right w:val="single" w:sz="4" w:space="0" w:color="auto"/>
            </w:tcBorders>
          </w:tcPr>
          <w:p w14:paraId="1713404C" w14:textId="42089ADC" w:rsidR="00812304" w:rsidRPr="007F61EF" w:rsidRDefault="00812304" w:rsidP="00812304">
            <w:pPr>
              <w:spacing w:before="60" w:after="60"/>
              <w:jc w:val="right"/>
              <w:rPr>
                <w:rFonts w:cs="Arial"/>
                <w:b/>
                <w:bCs/>
              </w:rPr>
            </w:pPr>
            <w:r w:rsidRPr="007F61EF">
              <w:rPr>
                <w:rFonts w:cs="Arial"/>
                <w:b/>
                <w:bCs/>
                <w:szCs w:val="20"/>
              </w:rPr>
              <w:t>1,383</w:t>
            </w:r>
          </w:p>
        </w:tc>
      </w:tr>
      <w:tr w:rsidR="00812304" w:rsidRPr="00224AA8" w14:paraId="27C78CD6" w14:textId="77777777" w:rsidTr="00594D14">
        <w:trPr>
          <w:trHeight w:val="255"/>
        </w:trPr>
        <w:tc>
          <w:tcPr>
            <w:tcW w:w="2694" w:type="dxa"/>
            <w:tcBorders>
              <w:top w:val="nil"/>
              <w:left w:val="single" w:sz="4" w:space="0" w:color="auto"/>
              <w:bottom w:val="single" w:sz="4" w:space="0" w:color="auto"/>
              <w:right w:val="single" w:sz="4" w:space="0" w:color="auto"/>
            </w:tcBorders>
            <w:noWrap/>
            <w:hideMark/>
          </w:tcPr>
          <w:p w14:paraId="1D46B9C2" w14:textId="77777777" w:rsidR="00812304" w:rsidRPr="00224AA8" w:rsidRDefault="00812304" w:rsidP="00812304">
            <w:pPr>
              <w:spacing w:before="60" w:after="60"/>
            </w:pPr>
            <w:r w:rsidRPr="00224AA8">
              <w:t>Hope Vale</w:t>
            </w:r>
          </w:p>
        </w:tc>
        <w:tc>
          <w:tcPr>
            <w:tcW w:w="992" w:type="dxa"/>
            <w:tcBorders>
              <w:top w:val="nil"/>
              <w:left w:val="nil"/>
              <w:bottom w:val="single" w:sz="4" w:space="0" w:color="auto"/>
              <w:right w:val="single" w:sz="4" w:space="0" w:color="auto"/>
            </w:tcBorders>
          </w:tcPr>
          <w:p w14:paraId="3D510704" w14:textId="5E791655" w:rsidR="00812304" w:rsidRPr="007F61EF" w:rsidRDefault="00812304" w:rsidP="00812304">
            <w:pPr>
              <w:spacing w:before="60" w:after="60"/>
              <w:jc w:val="right"/>
              <w:rPr>
                <w:rFonts w:cs="Arial"/>
              </w:rPr>
            </w:pPr>
            <w:r w:rsidRPr="007F61EF">
              <w:rPr>
                <w:rFonts w:cs="Arial"/>
                <w:szCs w:val="20"/>
              </w:rPr>
              <w:t>259</w:t>
            </w:r>
          </w:p>
        </w:tc>
        <w:tc>
          <w:tcPr>
            <w:tcW w:w="992" w:type="dxa"/>
            <w:tcBorders>
              <w:top w:val="nil"/>
              <w:left w:val="nil"/>
              <w:bottom w:val="single" w:sz="4" w:space="0" w:color="auto"/>
              <w:right w:val="single" w:sz="4" w:space="0" w:color="auto"/>
            </w:tcBorders>
          </w:tcPr>
          <w:p w14:paraId="6886FF7D" w14:textId="3DA8F5C4" w:rsidR="00812304" w:rsidRPr="007F61EF" w:rsidRDefault="00812304" w:rsidP="00812304">
            <w:pPr>
              <w:spacing w:before="60" w:after="60"/>
              <w:jc w:val="right"/>
              <w:rPr>
                <w:rFonts w:cs="Arial"/>
              </w:rPr>
            </w:pPr>
            <w:r w:rsidRPr="007F61EF">
              <w:rPr>
                <w:rFonts w:cs="Arial"/>
                <w:szCs w:val="20"/>
              </w:rPr>
              <w:t>225</w:t>
            </w:r>
          </w:p>
        </w:tc>
        <w:tc>
          <w:tcPr>
            <w:tcW w:w="992" w:type="dxa"/>
            <w:tcBorders>
              <w:top w:val="nil"/>
              <w:left w:val="nil"/>
              <w:bottom w:val="single" w:sz="4" w:space="0" w:color="auto"/>
              <w:right w:val="single" w:sz="4" w:space="0" w:color="auto"/>
            </w:tcBorders>
          </w:tcPr>
          <w:p w14:paraId="1E0452DA" w14:textId="2C035099" w:rsidR="00812304" w:rsidRPr="007F61EF" w:rsidRDefault="00812304" w:rsidP="00812304">
            <w:pPr>
              <w:spacing w:before="60" w:after="60"/>
              <w:jc w:val="right"/>
              <w:rPr>
                <w:rFonts w:cs="Arial"/>
              </w:rPr>
            </w:pPr>
            <w:r w:rsidRPr="007F61EF">
              <w:rPr>
                <w:rFonts w:cs="Arial"/>
                <w:szCs w:val="20"/>
              </w:rPr>
              <w:t>207</w:t>
            </w:r>
          </w:p>
        </w:tc>
        <w:tc>
          <w:tcPr>
            <w:tcW w:w="993" w:type="dxa"/>
            <w:tcBorders>
              <w:top w:val="nil"/>
              <w:left w:val="nil"/>
              <w:bottom w:val="single" w:sz="4" w:space="0" w:color="auto"/>
              <w:right w:val="single" w:sz="4" w:space="0" w:color="auto"/>
            </w:tcBorders>
          </w:tcPr>
          <w:p w14:paraId="26EB3303" w14:textId="736AA8C8" w:rsidR="00812304" w:rsidRPr="007F61EF" w:rsidRDefault="00812304" w:rsidP="00812304">
            <w:pPr>
              <w:spacing w:before="60" w:after="60"/>
              <w:jc w:val="right"/>
              <w:rPr>
                <w:rFonts w:cs="Arial"/>
              </w:rPr>
            </w:pPr>
            <w:r w:rsidRPr="007F61EF">
              <w:rPr>
                <w:rFonts w:cs="Arial"/>
                <w:szCs w:val="20"/>
              </w:rPr>
              <w:t>222</w:t>
            </w:r>
          </w:p>
        </w:tc>
        <w:tc>
          <w:tcPr>
            <w:tcW w:w="993" w:type="dxa"/>
            <w:tcBorders>
              <w:top w:val="nil"/>
              <w:left w:val="nil"/>
              <w:bottom w:val="single" w:sz="4" w:space="0" w:color="auto"/>
              <w:right w:val="single" w:sz="4" w:space="0" w:color="auto"/>
            </w:tcBorders>
          </w:tcPr>
          <w:p w14:paraId="2810CE50" w14:textId="0B241A81" w:rsidR="00812304" w:rsidRPr="007F61EF" w:rsidRDefault="00812304" w:rsidP="00812304">
            <w:pPr>
              <w:spacing w:before="60" w:after="60"/>
              <w:jc w:val="right"/>
              <w:rPr>
                <w:rFonts w:cs="Arial"/>
                <w:b/>
                <w:bCs/>
              </w:rPr>
            </w:pPr>
            <w:r w:rsidRPr="007F61EF">
              <w:rPr>
                <w:rFonts w:cs="Arial"/>
                <w:b/>
                <w:bCs/>
                <w:szCs w:val="20"/>
              </w:rPr>
              <w:t>913</w:t>
            </w:r>
          </w:p>
        </w:tc>
      </w:tr>
      <w:tr w:rsidR="00812304" w:rsidRPr="00224AA8" w14:paraId="1E3DF44F" w14:textId="77777777" w:rsidTr="00594D14">
        <w:trPr>
          <w:trHeight w:val="255"/>
        </w:trPr>
        <w:tc>
          <w:tcPr>
            <w:tcW w:w="2694" w:type="dxa"/>
            <w:tcBorders>
              <w:top w:val="nil"/>
              <w:left w:val="single" w:sz="4" w:space="0" w:color="auto"/>
              <w:bottom w:val="single" w:sz="4" w:space="0" w:color="auto"/>
              <w:right w:val="single" w:sz="4" w:space="0" w:color="auto"/>
            </w:tcBorders>
            <w:noWrap/>
            <w:hideMark/>
          </w:tcPr>
          <w:p w14:paraId="2D72A2F1" w14:textId="77777777" w:rsidR="00812304" w:rsidRPr="00224AA8" w:rsidRDefault="00812304" w:rsidP="00812304">
            <w:pPr>
              <w:spacing w:before="60" w:after="60"/>
            </w:pPr>
            <w:r w:rsidRPr="00224AA8">
              <w:t>Mossman Gorge</w:t>
            </w:r>
          </w:p>
        </w:tc>
        <w:tc>
          <w:tcPr>
            <w:tcW w:w="992" w:type="dxa"/>
            <w:tcBorders>
              <w:top w:val="nil"/>
              <w:left w:val="nil"/>
              <w:bottom w:val="single" w:sz="4" w:space="0" w:color="auto"/>
              <w:right w:val="single" w:sz="4" w:space="0" w:color="auto"/>
            </w:tcBorders>
          </w:tcPr>
          <w:p w14:paraId="21E1D00B" w14:textId="0299D73D" w:rsidR="00812304" w:rsidRPr="007F61EF" w:rsidRDefault="00812304" w:rsidP="00812304">
            <w:pPr>
              <w:spacing w:before="60" w:after="60"/>
              <w:jc w:val="right"/>
              <w:rPr>
                <w:rFonts w:cs="Arial"/>
              </w:rPr>
            </w:pPr>
            <w:r w:rsidRPr="007F61EF">
              <w:rPr>
                <w:rFonts w:cs="Arial"/>
                <w:szCs w:val="20"/>
              </w:rPr>
              <w:t>36</w:t>
            </w:r>
          </w:p>
        </w:tc>
        <w:tc>
          <w:tcPr>
            <w:tcW w:w="992" w:type="dxa"/>
            <w:tcBorders>
              <w:top w:val="nil"/>
              <w:left w:val="nil"/>
              <w:bottom w:val="single" w:sz="4" w:space="0" w:color="auto"/>
              <w:right w:val="single" w:sz="4" w:space="0" w:color="auto"/>
            </w:tcBorders>
          </w:tcPr>
          <w:p w14:paraId="6EF6FD53" w14:textId="39018EAF" w:rsidR="00812304" w:rsidRPr="007F61EF" w:rsidRDefault="00812304" w:rsidP="00812304">
            <w:pPr>
              <w:spacing w:before="60" w:after="60"/>
              <w:jc w:val="right"/>
              <w:rPr>
                <w:rFonts w:cs="Arial"/>
              </w:rPr>
            </w:pPr>
            <w:r w:rsidRPr="007F61EF">
              <w:rPr>
                <w:rFonts w:cs="Arial"/>
                <w:szCs w:val="20"/>
              </w:rPr>
              <w:t>50</w:t>
            </w:r>
          </w:p>
        </w:tc>
        <w:tc>
          <w:tcPr>
            <w:tcW w:w="992" w:type="dxa"/>
            <w:tcBorders>
              <w:top w:val="nil"/>
              <w:left w:val="nil"/>
              <w:bottom w:val="single" w:sz="4" w:space="0" w:color="auto"/>
              <w:right w:val="single" w:sz="4" w:space="0" w:color="auto"/>
            </w:tcBorders>
          </w:tcPr>
          <w:p w14:paraId="1461565C" w14:textId="20B60798" w:rsidR="00812304" w:rsidRPr="007F61EF" w:rsidRDefault="00812304" w:rsidP="00812304">
            <w:pPr>
              <w:spacing w:before="60" w:after="60"/>
              <w:jc w:val="right"/>
              <w:rPr>
                <w:rFonts w:cs="Arial"/>
              </w:rPr>
            </w:pPr>
            <w:r w:rsidRPr="007F61EF">
              <w:rPr>
                <w:rFonts w:cs="Arial"/>
                <w:szCs w:val="20"/>
              </w:rPr>
              <w:t>41</w:t>
            </w:r>
          </w:p>
        </w:tc>
        <w:tc>
          <w:tcPr>
            <w:tcW w:w="993" w:type="dxa"/>
            <w:tcBorders>
              <w:top w:val="nil"/>
              <w:left w:val="nil"/>
              <w:bottom w:val="single" w:sz="4" w:space="0" w:color="auto"/>
              <w:right w:val="single" w:sz="4" w:space="0" w:color="auto"/>
            </w:tcBorders>
          </w:tcPr>
          <w:p w14:paraId="753ACEFA" w14:textId="086AF640" w:rsidR="00812304" w:rsidRPr="007F61EF" w:rsidRDefault="00812304" w:rsidP="00812304">
            <w:pPr>
              <w:spacing w:before="60" w:after="60"/>
              <w:jc w:val="right"/>
              <w:rPr>
                <w:rFonts w:cs="Arial"/>
              </w:rPr>
            </w:pPr>
            <w:r w:rsidRPr="007F61EF">
              <w:rPr>
                <w:rFonts w:cs="Arial"/>
                <w:szCs w:val="20"/>
              </w:rPr>
              <w:t>61</w:t>
            </w:r>
          </w:p>
        </w:tc>
        <w:tc>
          <w:tcPr>
            <w:tcW w:w="993" w:type="dxa"/>
            <w:tcBorders>
              <w:top w:val="nil"/>
              <w:left w:val="nil"/>
              <w:bottom w:val="single" w:sz="4" w:space="0" w:color="auto"/>
              <w:right w:val="single" w:sz="4" w:space="0" w:color="auto"/>
            </w:tcBorders>
          </w:tcPr>
          <w:p w14:paraId="6C233891" w14:textId="5FB14668" w:rsidR="00812304" w:rsidRPr="007F61EF" w:rsidRDefault="00812304" w:rsidP="00812304">
            <w:pPr>
              <w:spacing w:before="60" w:after="60"/>
              <w:jc w:val="right"/>
              <w:rPr>
                <w:rFonts w:cs="Arial"/>
                <w:b/>
                <w:bCs/>
              </w:rPr>
            </w:pPr>
            <w:r w:rsidRPr="007F61EF">
              <w:rPr>
                <w:rFonts w:cs="Arial"/>
                <w:b/>
                <w:bCs/>
                <w:szCs w:val="20"/>
              </w:rPr>
              <w:t>188</w:t>
            </w:r>
          </w:p>
        </w:tc>
      </w:tr>
      <w:tr w:rsidR="00812304" w:rsidRPr="00224AA8" w14:paraId="50745064" w14:textId="77777777" w:rsidTr="00594D14">
        <w:trPr>
          <w:trHeight w:val="255"/>
        </w:trPr>
        <w:tc>
          <w:tcPr>
            <w:tcW w:w="2694" w:type="dxa"/>
            <w:tcBorders>
              <w:top w:val="nil"/>
              <w:left w:val="single" w:sz="4" w:space="0" w:color="auto"/>
              <w:bottom w:val="single" w:sz="4" w:space="0" w:color="auto"/>
              <w:right w:val="single" w:sz="4" w:space="0" w:color="auto"/>
            </w:tcBorders>
            <w:noWrap/>
            <w:hideMark/>
          </w:tcPr>
          <w:p w14:paraId="49D24840" w14:textId="77777777" w:rsidR="00812304" w:rsidRPr="00224AA8" w:rsidRDefault="00812304" w:rsidP="00812304">
            <w:pPr>
              <w:spacing w:before="60" w:after="60"/>
              <w:rPr>
                <w:b/>
                <w:bCs/>
              </w:rPr>
            </w:pPr>
            <w:r w:rsidRPr="00224AA8">
              <w:rPr>
                <w:b/>
                <w:bCs/>
              </w:rPr>
              <w:t>Total</w:t>
            </w:r>
          </w:p>
        </w:tc>
        <w:tc>
          <w:tcPr>
            <w:tcW w:w="992" w:type="dxa"/>
            <w:tcBorders>
              <w:top w:val="nil"/>
              <w:left w:val="nil"/>
              <w:bottom w:val="single" w:sz="4" w:space="0" w:color="auto"/>
              <w:right w:val="single" w:sz="4" w:space="0" w:color="auto"/>
            </w:tcBorders>
            <w:noWrap/>
          </w:tcPr>
          <w:p w14:paraId="232A9904" w14:textId="6AE8D5D9" w:rsidR="00812304" w:rsidRPr="007F61EF" w:rsidRDefault="00812304" w:rsidP="00812304">
            <w:pPr>
              <w:spacing w:before="60" w:after="60"/>
              <w:jc w:val="right"/>
              <w:rPr>
                <w:rFonts w:cs="Arial"/>
                <w:b/>
                <w:bCs/>
              </w:rPr>
            </w:pPr>
            <w:r w:rsidRPr="007F61EF">
              <w:rPr>
                <w:rFonts w:cs="Arial"/>
                <w:b/>
                <w:bCs/>
                <w:szCs w:val="20"/>
              </w:rPr>
              <w:t>1,225</w:t>
            </w:r>
          </w:p>
        </w:tc>
        <w:tc>
          <w:tcPr>
            <w:tcW w:w="992" w:type="dxa"/>
            <w:tcBorders>
              <w:top w:val="nil"/>
              <w:left w:val="nil"/>
              <w:bottom w:val="single" w:sz="4" w:space="0" w:color="auto"/>
              <w:right w:val="single" w:sz="4" w:space="0" w:color="auto"/>
            </w:tcBorders>
            <w:noWrap/>
          </w:tcPr>
          <w:p w14:paraId="343CF928" w14:textId="7AD096C2" w:rsidR="00812304" w:rsidRPr="007F61EF" w:rsidRDefault="00812304" w:rsidP="00812304">
            <w:pPr>
              <w:spacing w:before="60" w:after="60"/>
              <w:jc w:val="right"/>
              <w:rPr>
                <w:rFonts w:cs="Arial"/>
                <w:b/>
                <w:bCs/>
              </w:rPr>
            </w:pPr>
            <w:r w:rsidRPr="007F61EF">
              <w:rPr>
                <w:rFonts w:cs="Arial"/>
                <w:b/>
                <w:bCs/>
                <w:szCs w:val="20"/>
              </w:rPr>
              <w:t>1,173</w:t>
            </w:r>
          </w:p>
        </w:tc>
        <w:tc>
          <w:tcPr>
            <w:tcW w:w="992" w:type="dxa"/>
            <w:tcBorders>
              <w:top w:val="nil"/>
              <w:left w:val="nil"/>
              <w:bottom w:val="single" w:sz="4" w:space="0" w:color="auto"/>
              <w:right w:val="single" w:sz="4" w:space="0" w:color="auto"/>
            </w:tcBorders>
            <w:noWrap/>
          </w:tcPr>
          <w:p w14:paraId="222F510B" w14:textId="0DEA2893" w:rsidR="00812304" w:rsidRPr="007F61EF" w:rsidRDefault="00812304" w:rsidP="00812304">
            <w:pPr>
              <w:spacing w:before="60" w:after="60"/>
              <w:jc w:val="right"/>
              <w:rPr>
                <w:rFonts w:cs="Arial"/>
                <w:b/>
                <w:bCs/>
              </w:rPr>
            </w:pPr>
            <w:r w:rsidRPr="007F61EF">
              <w:rPr>
                <w:rFonts w:cs="Arial"/>
                <w:b/>
                <w:bCs/>
                <w:szCs w:val="20"/>
              </w:rPr>
              <w:t>1,077</w:t>
            </w:r>
          </w:p>
        </w:tc>
        <w:tc>
          <w:tcPr>
            <w:tcW w:w="993" w:type="dxa"/>
            <w:tcBorders>
              <w:top w:val="nil"/>
              <w:left w:val="nil"/>
              <w:bottom w:val="single" w:sz="4" w:space="0" w:color="auto"/>
              <w:right w:val="single" w:sz="4" w:space="0" w:color="auto"/>
            </w:tcBorders>
            <w:noWrap/>
          </w:tcPr>
          <w:p w14:paraId="0C44E0DA" w14:textId="41E69658" w:rsidR="00812304" w:rsidRPr="007F61EF" w:rsidRDefault="00812304" w:rsidP="00812304">
            <w:pPr>
              <w:spacing w:before="60" w:after="60"/>
              <w:jc w:val="right"/>
              <w:rPr>
                <w:rFonts w:cs="Arial"/>
                <w:b/>
                <w:bCs/>
              </w:rPr>
            </w:pPr>
            <w:r w:rsidRPr="007F61EF">
              <w:rPr>
                <w:rFonts w:cs="Arial"/>
                <w:b/>
                <w:bCs/>
                <w:szCs w:val="20"/>
              </w:rPr>
              <w:t>1,1</w:t>
            </w:r>
            <w:r w:rsidR="008C02C9">
              <w:rPr>
                <w:rFonts w:cs="Arial"/>
                <w:b/>
                <w:bCs/>
                <w:szCs w:val="20"/>
              </w:rPr>
              <w:t>20</w:t>
            </w:r>
          </w:p>
        </w:tc>
        <w:tc>
          <w:tcPr>
            <w:tcW w:w="993" w:type="dxa"/>
            <w:tcBorders>
              <w:top w:val="nil"/>
              <w:left w:val="nil"/>
              <w:bottom w:val="single" w:sz="4" w:space="0" w:color="auto"/>
              <w:right w:val="single" w:sz="4" w:space="0" w:color="auto"/>
            </w:tcBorders>
          </w:tcPr>
          <w:p w14:paraId="4972B41B" w14:textId="2110E290" w:rsidR="00812304" w:rsidRPr="007F61EF" w:rsidRDefault="00812304" w:rsidP="00812304">
            <w:pPr>
              <w:spacing w:before="60" w:after="60"/>
              <w:jc w:val="right"/>
              <w:rPr>
                <w:rFonts w:cs="Arial"/>
                <w:b/>
                <w:bCs/>
              </w:rPr>
            </w:pPr>
            <w:r w:rsidRPr="007F61EF">
              <w:rPr>
                <w:rFonts w:cs="Arial"/>
                <w:b/>
                <w:bCs/>
                <w:szCs w:val="20"/>
              </w:rPr>
              <w:t>4,59</w:t>
            </w:r>
            <w:r w:rsidR="008C02C9">
              <w:rPr>
                <w:rFonts w:cs="Arial"/>
                <w:b/>
                <w:bCs/>
                <w:szCs w:val="20"/>
              </w:rPr>
              <w:t>5</w:t>
            </w:r>
          </w:p>
        </w:tc>
      </w:tr>
    </w:tbl>
    <w:p w14:paraId="193CEB57" w14:textId="77777777" w:rsidR="006B6F53" w:rsidRPr="00224AA8" w:rsidRDefault="006B6F53" w:rsidP="006B6F53"/>
    <w:p w14:paraId="511D285E" w14:textId="77777777" w:rsidR="006B6F53" w:rsidRPr="00224AA8" w:rsidRDefault="006B6F53" w:rsidP="006B6F53">
      <w:pPr>
        <w:jc w:val="both"/>
        <w:rPr>
          <w:rFonts w:cs="Arial"/>
          <w:b/>
          <w:bCs/>
          <w:sz w:val="17"/>
          <w:szCs w:val="17"/>
        </w:rPr>
      </w:pPr>
      <w:bookmarkStart w:id="0" w:name="_Hlk13213432"/>
      <w:r w:rsidRPr="00224AA8">
        <w:rPr>
          <w:rFonts w:cs="Arial"/>
          <w:b/>
          <w:bCs/>
          <w:sz w:val="17"/>
          <w:szCs w:val="17"/>
        </w:rPr>
        <w:t xml:space="preserve">Table </w:t>
      </w:r>
      <w:r>
        <w:rPr>
          <w:rFonts w:cs="Arial"/>
          <w:b/>
          <w:bCs/>
          <w:sz w:val="17"/>
          <w:szCs w:val="17"/>
        </w:rPr>
        <w:t>2</w:t>
      </w:r>
      <w:r w:rsidRPr="00224AA8">
        <w:rPr>
          <w:rFonts w:cs="Arial"/>
          <w:b/>
          <w:bCs/>
          <w:sz w:val="17"/>
          <w:szCs w:val="17"/>
        </w:rPr>
        <w:t>: In jurisdiction notices by type and community 1 July 202</w:t>
      </w:r>
      <w:r>
        <w:rPr>
          <w:rFonts w:cs="Arial"/>
          <w:b/>
          <w:bCs/>
          <w:sz w:val="17"/>
          <w:szCs w:val="17"/>
        </w:rPr>
        <w:t>4</w:t>
      </w:r>
      <w:r w:rsidRPr="00224AA8">
        <w:rPr>
          <w:rFonts w:cs="Arial"/>
          <w:b/>
          <w:bCs/>
          <w:sz w:val="17"/>
          <w:szCs w:val="17"/>
        </w:rPr>
        <w:t xml:space="preserve"> to 30 June 202</w:t>
      </w:r>
      <w:r>
        <w:rPr>
          <w:rFonts w:cs="Arial"/>
          <w:b/>
          <w:bCs/>
          <w:sz w:val="17"/>
          <w:szCs w:val="17"/>
        </w:rPr>
        <w:t>5</w:t>
      </w:r>
    </w:p>
    <w:tbl>
      <w:tblPr>
        <w:tblW w:w="8222" w:type="dxa"/>
        <w:tblInd w:w="108" w:type="dxa"/>
        <w:tblLayout w:type="fixed"/>
        <w:tblLook w:val="04A0" w:firstRow="1" w:lastRow="0" w:firstColumn="1" w:lastColumn="0" w:noHBand="0" w:noVBand="1"/>
      </w:tblPr>
      <w:tblGrid>
        <w:gridCol w:w="2722"/>
        <w:gridCol w:w="916"/>
        <w:gridCol w:w="917"/>
        <w:gridCol w:w="917"/>
        <w:gridCol w:w="916"/>
        <w:gridCol w:w="917"/>
        <w:gridCol w:w="917"/>
      </w:tblGrid>
      <w:tr w:rsidR="006B6F53" w:rsidRPr="00224AA8" w14:paraId="6ADB5C79" w14:textId="77777777" w:rsidTr="00594D14">
        <w:trPr>
          <w:trHeight w:val="284"/>
        </w:trPr>
        <w:tc>
          <w:tcPr>
            <w:tcW w:w="272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66A28E17" w14:textId="77777777" w:rsidR="006B6F53" w:rsidRPr="00224AA8" w:rsidRDefault="006B6F53" w:rsidP="00594D14">
            <w:pPr>
              <w:spacing w:before="60" w:after="60"/>
              <w:rPr>
                <w:b/>
                <w:bCs/>
                <w:color w:val="FFFFFF" w:themeColor="background1"/>
              </w:rPr>
            </w:pPr>
            <w:bookmarkStart w:id="1" w:name="_Hlk205881729"/>
            <w:bookmarkStart w:id="2" w:name="_Hlk13216885"/>
            <w:r w:rsidRPr="00224AA8">
              <w:rPr>
                <w:b/>
                <w:bCs/>
                <w:color w:val="FFFFFF" w:themeColor="background1"/>
              </w:rPr>
              <w:lastRenderedPageBreak/>
              <w:t>Type of notice</w:t>
            </w:r>
          </w:p>
        </w:tc>
        <w:tc>
          <w:tcPr>
            <w:tcW w:w="91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0531F06F"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AU</w:t>
            </w:r>
          </w:p>
        </w:tc>
        <w:tc>
          <w:tcPr>
            <w:tcW w:w="917"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67E19143"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CO</w:t>
            </w:r>
          </w:p>
        </w:tc>
        <w:tc>
          <w:tcPr>
            <w:tcW w:w="917"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538EA75B"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DM</w:t>
            </w:r>
            <w:r w:rsidRPr="00224AA8">
              <w:rPr>
                <w:rStyle w:val="FootnoteReference"/>
                <w:bCs/>
                <w:color w:val="FFFFFF" w:themeColor="background1"/>
              </w:rPr>
              <w:footnoteReference w:id="2"/>
            </w:r>
          </w:p>
        </w:tc>
        <w:tc>
          <w:tcPr>
            <w:tcW w:w="91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22B73D1B"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HV</w:t>
            </w:r>
          </w:p>
        </w:tc>
        <w:tc>
          <w:tcPr>
            <w:tcW w:w="917"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6AAFEFA0"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MG</w:t>
            </w:r>
          </w:p>
        </w:tc>
        <w:tc>
          <w:tcPr>
            <w:tcW w:w="917"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7A88BD84"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Total</w:t>
            </w:r>
          </w:p>
        </w:tc>
      </w:tr>
      <w:bookmarkEnd w:id="1"/>
      <w:tr w:rsidR="00DE6B11" w:rsidRPr="00224AA8" w14:paraId="311AE820" w14:textId="77777777" w:rsidTr="00594D14">
        <w:trPr>
          <w:trHeight w:val="284"/>
        </w:trPr>
        <w:tc>
          <w:tcPr>
            <w:tcW w:w="2722" w:type="dxa"/>
            <w:tcBorders>
              <w:top w:val="single" w:sz="4" w:space="0" w:color="auto"/>
              <w:left w:val="single" w:sz="4" w:space="0" w:color="auto"/>
              <w:bottom w:val="single" w:sz="4" w:space="0" w:color="auto"/>
              <w:right w:val="single" w:sz="4" w:space="0" w:color="auto"/>
            </w:tcBorders>
            <w:noWrap/>
            <w:vAlign w:val="center"/>
          </w:tcPr>
          <w:p w14:paraId="7C7780F8" w14:textId="77777777" w:rsidR="00DE6B11" w:rsidRPr="00224AA8" w:rsidRDefault="00DE6B11" w:rsidP="00DE6B11">
            <w:pPr>
              <w:spacing w:before="60" w:after="60"/>
            </w:pPr>
            <w:r w:rsidRPr="00224AA8">
              <w:t>Supreme Court</w:t>
            </w:r>
          </w:p>
        </w:tc>
        <w:tc>
          <w:tcPr>
            <w:tcW w:w="916" w:type="dxa"/>
            <w:tcBorders>
              <w:top w:val="single" w:sz="4" w:space="0" w:color="auto"/>
              <w:left w:val="nil"/>
              <w:bottom w:val="single" w:sz="4" w:space="0" w:color="auto"/>
              <w:right w:val="single" w:sz="4" w:space="0" w:color="auto"/>
            </w:tcBorders>
          </w:tcPr>
          <w:p w14:paraId="0F9BA368" w14:textId="68A99F64" w:rsidR="00DE6B11" w:rsidRPr="007F61EF" w:rsidRDefault="00DE6B11" w:rsidP="00DE6B11">
            <w:pPr>
              <w:spacing w:before="60" w:after="60"/>
              <w:jc w:val="right"/>
              <w:rPr>
                <w:rFonts w:cs="Arial"/>
                <w:szCs w:val="20"/>
              </w:rPr>
            </w:pPr>
            <w:r w:rsidRPr="007F61EF">
              <w:rPr>
                <w:rFonts w:cs="Arial"/>
                <w:szCs w:val="20"/>
              </w:rPr>
              <w:t>0</w:t>
            </w:r>
          </w:p>
        </w:tc>
        <w:tc>
          <w:tcPr>
            <w:tcW w:w="917" w:type="dxa"/>
            <w:tcBorders>
              <w:top w:val="single" w:sz="4" w:space="0" w:color="auto"/>
              <w:left w:val="nil"/>
              <w:bottom w:val="single" w:sz="4" w:space="0" w:color="auto"/>
              <w:right w:val="single" w:sz="4" w:space="0" w:color="auto"/>
            </w:tcBorders>
          </w:tcPr>
          <w:p w14:paraId="60D88341" w14:textId="24729403" w:rsidR="00DE6B11" w:rsidRPr="007F61EF" w:rsidRDefault="00DE6B11" w:rsidP="00DE6B11">
            <w:pPr>
              <w:spacing w:before="60" w:after="60"/>
              <w:jc w:val="right"/>
              <w:rPr>
                <w:rFonts w:cs="Arial"/>
                <w:szCs w:val="20"/>
              </w:rPr>
            </w:pPr>
            <w:r w:rsidRPr="007F61EF">
              <w:rPr>
                <w:rFonts w:cs="Arial"/>
                <w:szCs w:val="20"/>
              </w:rPr>
              <w:t>0</w:t>
            </w:r>
          </w:p>
        </w:tc>
        <w:tc>
          <w:tcPr>
            <w:tcW w:w="917" w:type="dxa"/>
            <w:tcBorders>
              <w:top w:val="single" w:sz="4" w:space="0" w:color="auto"/>
              <w:left w:val="nil"/>
              <w:bottom w:val="single" w:sz="4" w:space="0" w:color="auto"/>
              <w:right w:val="single" w:sz="4" w:space="0" w:color="auto"/>
            </w:tcBorders>
          </w:tcPr>
          <w:p w14:paraId="6D303079" w14:textId="05543C81" w:rsidR="00DE6B11" w:rsidRPr="007F61EF" w:rsidRDefault="00DE6B11" w:rsidP="00DE6B11">
            <w:pPr>
              <w:spacing w:before="60" w:after="60"/>
              <w:jc w:val="right"/>
              <w:rPr>
                <w:rFonts w:cs="Arial"/>
                <w:szCs w:val="20"/>
              </w:rPr>
            </w:pPr>
            <w:r w:rsidRPr="007F61EF">
              <w:rPr>
                <w:rFonts w:cs="Arial"/>
                <w:szCs w:val="20"/>
              </w:rPr>
              <w:t>0</w:t>
            </w:r>
          </w:p>
        </w:tc>
        <w:tc>
          <w:tcPr>
            <w:tcW w:w="916" w:type="dxa"/>
            <w:tcBorders>
              <w:top w:val="single" w:sz="4" w:space="0" w:color="auto"/>
              <w:left w:val="nil"/>
              <w:bottom w:val="single" w:sz="4" w:space="0" w:color="auto"/>
              <w:right w:val="single" w:sz="4" w:space="0" w:color="auto"/>
            </w:tcBorders>
          </w:tcPr>
          <w:p w14:paraId="6CC08651" w14:textId="5B4D546A" w:rsidR="00DE6B11" w:rsidRPr="007F61EF" w:rsidRDefault="00DE6B11" w:rsidP="00DE6B11">
            <w:pPr>
              <w:spacing w:before="60" w:after="60"/>
              <w:jc w:val="right"/>
              <w:rPr>
                <w:rFonts w:cs="Arial"/>
                <w:szCs w:val="20"/>
              </w:rPr>
            </w:pPr>
            <w:r w:rsidRPr="007F61EF">
              <w:rPr>
                <w:rFonts w:cs="Arial"/>
                <w:szCs w:val="20"/>
              </w:rPr>
              <w:t>0</w:t>
            </w:r>
          </w:p>
        </w:tc>
        <w:tc>
          <w:tcPr>
            <w:tcW w:w="917" w:type="dxa"/>
            <w:tcBorders>
              <w:top w:val="single" w:sz="4" w:space="0" w:color="auto"/>
              <w:left w:val="nil"/>
              <w:bottom w:val="single" w:sz="4" w:space="0" w:color="auto"/>
              <w:right w:val="single" w:sz="4" w:space="0" w:color="auto"/>
            </w:tcBorders>
          </w:tcPr>
          <w:p w14:paraId="30EDD513" w14:textId="2AF9AA55" w:rsidR="00DE6B11" w:rsidRPr="007F61EF" w:rsidRDefault="00DE6B11" w:rsidP="00DE6B11">
            <w:pPr>
              <w:spacing w:before="60" w:after="60"/>
              <w:jc w:val="right"/>
              <w:rPr>
                <w:rFonts w:cs="Arial"/>
                <w:szCs w:val="20"/>
              </w:rPr>
            </w:pPr>
            <w:r w:rsidRPr="007F61EF">
              <w:rPr>
                <w:rFonts w:cs="Arial"/>
                <w:szCs w:val="20"/>
              </w:rPr>
              <w:t>0</w:t>
            </w:r>
          </w:p>
        </w:tc>
        <w:tc>
          <w:tcPr>
            <w:tcW w:w="917" w:type="dxa"/>
            <w:tcBorders>
              <w:top w:val="single" w:sz="4" w:space="0" w:color="auto"/>
              <w:left w:val="nil"/>
              <w:bottom w:val="single" w:sz="4" w:space="0" w:color="auto"/>
              <w:right w:val="single" w:sz="4" w:space="0" w:color="auto"/>
            </w:tcBorders>
          </w:tcPr>
          <w:p w14:paraId="2F14194A" w14:textId="25CD61B1" w:rsidR="00DE6B11" w:rsidRPr="007F61EF" w:rsidRDefault="00DE6B11" w:rsidP="00DE6B11">
            <w:pPr>
              <w:spacing w:before="60" w:after="60"/>
              <w:jc w:val="right"/>
              <w:rPr>
                <w:rFonts w:cs="Arial"/>
                <w:b/>
                <w:bCs/>
                <w:szCs w:val="20"/>
              </w:rPr>
            </w:pPr>
            <w:r w:rsidRPr="007F61EF">
              <w:rPr>
                <w:rFonts w:cs="Arial"/>
                <w:b/>
                <w:bCs/>
                <w:szCs w:val="20"/>
              </w:rPr>
              <w:t>0</w:t>
            </w:r>
          </w:p>
        </w:tc>
      </w:tr>
      <w:tr w:rsidR="00DE6B11" w:rsidRPr="00224AA8" w14:paraId="7AA46984" w14:textId="77777777" w:rsidTr="00594D14">
        <w:trPr>
          <w:trHeight w:val="284"/>
        </w:trPr>
        <w:tc>
          <w:tcPr>
            <w:tcW w:w="2722" w:type="dxa"/>
            <w:tcBorders>
              <w:top w:val="nil"/>
              <w:left w:val="single" w:sz="4" w:space="0" w:color="auto"/>
              <w:bottom w:val="single" w:sz="4" w:space="0" w:color="auto"/>
              <w:right w:val="single" w:sz="4" w:space="0" w:color="auto"/>
            </w:tcBorders>
            <w:vAlign w:val="center"/>
            <w:hideMark/>
          </w:tcPr>
          <w:p w14:paraId="7047EEF6" w14:textId="77777777" w:rsidR="00DE6B11" w:rsidRPr="00224AA8" w:rsidRDefault="00DE6B11" w:rsidP="00DE6B11">
            <w:pPr>
              <w:spacing w:before="60" w:after="60"/>
            </w:pPr>
            <w:r w:rsidRPr="00224AA8">
              <w:t>District Court</w:t>
            </w:r>
          </w:p>
        </w:tc>
        <w:tc>
          <w:tcPr>
            <w:tcW w:w="916" w:type="dxa"/>
            <w:tcBorders>
              <w:top w:val="nil"/>
              <w:left w:val="nil"/>
              <w:bottom w:val="single" w:sz="4" w:space="0" w:color="auto"/>
              <w:right w:val="single" w:sz="4" w:space="0" w:color="auto"/>
            </w:tcBorders>
          </w:tcPr>
          <w:p w14:paraId="12A73D52" w14:textId="7A622F14" w:rsidR="00DE6B11" w:rsidRPr="007F61EF" w:rsidRDefault="00DE6B11" w:rsidP="00DE6B11">
            <w:pPr>
              <w:spacing w:before="60" w:after="60"/>
              <w:jc w:val="right"/>
              <w:rPr>
                <w:rFonts w:cs="Arial"/>
                <w:bCs/>
                <w:szCs w:val="20"/>
              </w:rPr>
            </w:pPr>
            <w:r w:rsidRPr="007F61EF">
              <w:rPr>
                <w:rFonts w:cs="Arial"/>
                <w:szCs w:val="20"/>
              </w:rPr>
              <w:t>33</w:t>
            </w:r>
          </w:p>
        </w:tc>
        <w:tc>
          <w:tcPr>
            <w:tcW w:w="917" w:type="dxa"/>
            <w:tcBorders>
              <w:top w:val="nil"/>
              <w:left w:val="nil"/>
              <w:bottom w:val="single" w:sz="4" w:space="0" w:color="auto"/>
              <w:right w:val="single" w:sz="4" w:space="0" w:color="auto"/>
            </w:tcBorders>
          </w:tcPr>
          <w:p w14:paraId="34E82046" w14:textId="7652C32A" w:rsidR="00DE6B11" w:rsidRPr="007F61EF" w:rsidRDefault="00DE6B11" w:rsidP="00DE6B11">
            <w:pPr>
              <w:spacing w:before="60" w:after="60"/>
              <w:jc w:val="right"/>
              <w:rPr>
                <w:rFonts w:cs="Arial"/>
                <w:szCs w:val="20"/>
              </w:rPr>
            </w:pPr>
            <w:r w:rsidRPr="007F61EF">
              <w:rPr>
                <w:rFonts w:cs="Arial"/>
                <w:szCs w:val="20"/>
              </w:rPr>
              <w:t>4</w:t>
            </w:r>
          </w:p>
        </w:tc>
        <w:tc>
          <w:tcPr>
            <w:tcW w:w="917" w:type="dxa"/>
            <w:tcBorders>
              <w:top w:val="nil"/>
              <w:left w:val="nil"/>
              <w:bottom w:val="single" w:sz="4" w:space="0" w:color="auto"/>
              <w:right w:val="single" w:sz="4" w:space="0" w:color="auto"/>
            </w:tcBorders>
          </w:tcPr>
          <w:p w14:paraId="482ADAB9" w14:textId="48D3A19E" w:rsidR="00DE6B11" w:rsidRPr="007F61EF" w:rsidRDefault="00DE6B11" w:rsidP="00DE6B11">
            <w:pPr>
              <w:spacing w:before="60" w:after="60"/>
              <w:jc w:val="right"/>
              <w:rPr>
                <w:rFonts w:cs="Arial"/>
                <w:szCs w:val="20"/>
              </w:rPr>
            </w:pPr>
            <w:r w:rsidRPr="007F61EF">
              <w:rPr>
                <w:rFonts w:cs="Arial"/>
                <w:szCs w:val="20"/>
              </w:rPr>
              <w:t>0</w:t>
            </w:r>
          </w:p>
        </w:tc>
        <w:tc>
          <w:tcPr>
            <w:tcW w:w="916" w:type="dxa"/>
            <w:tcBorders>
              <w:top w:val="nil"/>
              <w:left w:val="nil"/>
              <w:bottom w:val="single" w:sz="4" w:space="0" w:color="auto"/>
              <w:right w:val="single" w:sz="4" w:space="0" w:color="auto"/>
            </w:tcBorders>
          </w:tcPr>
          <w:p w14:paraId="2F15B503" w14:textId="6C9C9EA7" w:rsidR="00DE6B11" w:rsidRPr="007F61EF" w:rsidRDefault="00DE6B11" w:rsidP="00DE6B11">
            <w:pPr>
              <w:spacing w:before="60" w:after="60"/>
              <w:jc w:val="right"/>
              <w:rPr>
                <w:rFonts w:cs="Arial"/>
                <w:szCs w:val="20"/>
              </w:rPr>
            </w:pPr>
            <w:r w:rsidRPr="007F61EF">
              <w:rPr>
                <w:rFonts w:cs="Arial"/>
                <w:szCs w:val="20"/>
              </w:rPr>
              <w:t>7</w:t>
            </w:r>
          </w:p>
        </w:tc>
        <w:tc>
          <w:tcPr>
            <w:tcW w:w="917" w:type="dxa"/>
            <w:tcBorders>
              <w:top w:val="nil"/>
              <w:left w:val="nil"/>
              <w:bottom w:val="single" w:sz="4" w:space="0" w:color="auto"/>
              <w:right w:val="single" w:sz="4" w:space="0" w:color="auto"/>
            </w:tcBorders>
          </w:tcPr>
          <w:p w14:paraId="6ECE0AB4" w14:textId="62646817" w:rsidR="00DE6B11" w:rsidRPr="007F61EF" w:rsidRDefault="00DE6B11" w:rsidP="00DE6B11">
            <w:pPr>
              <w:spacing w:before="60" w:after="60"/>
              <w:jc w:val="right"/>
              <w:rPr>
                <w:rFonts w:cs="Arial"/>
                <w:szCs w:val="20"/>
              </w:rPr>
            </w:pPr>
            <w:r w:rsidRPr="007F61EF">
              <w:rPr>
                <w:rFonts w:cs="Arial"/>
                <w:szCs w:val="20"/>
              </w:rPr>
              <w:t>2</w:t>
            </w:r>
          </w:p>
        </w:tc>
        <w:tc>
          <w:tcPr>
            <w:tcW w:w="917" w:type="dxa"/>
            <w:tcBorders>
              <w:top w:val="nil"/>
              <w:left w:val="nil"/>
              <w:bottom w:val="single" w:sz="4" w:space="0" w:color="auto"/>
              <w:right w:val="single" w:sz="4" w:space="0" w:color="auto"/>
            </w:tcBorders>
          </w:tcPr>
          <w:p w14:paraId="717D9AB1" w14:textId="57B153A2" w:rsidR="00DE6B11" w:rsidRPr="007F61EF" w:rsidRDefault="00DE6B11" w:rsidP="00DE6B11">
            <w:pPr>
              <w:spacing w:before="60" w:after="60"/>
              <w:jc w:val="right"/>
              <w:rPr>
                <w:rFonts w:cs="Arial"/>
                <w:b/>
                <w:bCs/>
                <w:szCs w:val="20"/>
              </w:rPr>
            </w:pPr>
            <w:r w:rsidRPr="007F61EF">
              <w:rPr>
                <w:rFonts w:cs="Arial"/>
                <w:b/>
                <w:bCs/>
                <w:szCs w:val="20"/>
              </w:rPr>
              <w:t>46</w:t>
            </w:r>
          </w:p>
        </w:tc>
      </w:tr>
      <w:tr w:rsidR="00DE6B11" w:rsidRPr="00224AA8" w14:paraId="19DD9B45" w14:textId="77777777" w:rsidTr="00594D14">
        <w:trPr>
          <w:trHeight w:val="284"/>
        </w:trPr>
        <w:tc>
          <w:tcPr>
            <w:tcW w:w="2722" w:type="dxa"/>
            <w:tcBorders>
              <w:top w:val="nil"/>
              <w:left w:val="single" w:sz="4" w:space="0" w:color="auto"/>
              <w:bottom w:val="single" w:sz="4" w:space="0" w:color="auto"/>
              <w:right w:val="single" w:sz="4" w:space="0" w:color="auto"/>
            </w:tcBorders>
            <w:vAlign w:val="center"/>
          </w:tcPr>
          <w:p w14:paraId="1070D87A" w14:textId="77777777" w:rsidR="00DE6B11" w:rsidRPr="00224AA8" w:rsidRDefault="00DE6B11" w:rsidP="00DE6B11">
            <w:pPr>
              <w:spacing w:before="60" w:after="60"/>
            </w:pPr>
            <w:r>
              <w:t>Childrens Court</w:t>
            </w:r>
          </w:p>
        </w:tc>
        <w:tc>
          <w:tcPr>
            <w:tcW w:w="916" w:type="dxa"/>
            <w:tcBorders>
              <w:top w:val="nil"/>
              <w:left w:val="nil"/>
              <w:bottom w:val="single" w:sz="4" w:space="0" w:color="auto"/>
              <w:right w:val="single" w:sz="4" w:space="0" w:color="auto"/>
            </w:tcBorders>
          </w:tcPr>
          <w:p w14:paraId="542D8CF9" w14:textId="1B96D21D" w:rsidR="00DE6B11" w:rsidRPr="007F61EF" w:rsidRDefault="00DE6B11" w:rsidP="00DE6B11">
            <w:pPr>
              <w:spacing w:before="60" w:after="60"/>
              <w:jc w:val="right"/>
              <w:rPr>
                <w:rFonts w:cs="Arial"/>
                <w:bCs/>
                <w:szCs w:val="20"/>
              </w:rPr>
            </w:pPr>
            <w:r w:rsidRPr="007F61EF">
              <w:rPr>
                <w:rFonts w:cs="Arial"/>
                <w:szCs w:val="20"/>
              </w:rPr>
              <w:t>11</w:t>
            </w:r>
            <w:r w:rsidR="008C243E">
              <w:rPr>
                <w:rFonts w:cs="Arial"/>
                <w:szCs w:val="20"/>
              </w:rPr>
              <w:t>5</w:t>
            </w:r>
          </w:p>
        </w:tc>
        <w:tc>
          <w:tcPr>
            <w:tcW w:w="917" w:type="dxa"/>
            <w:tcBorders>
              <w:top w:val="nil"/>
              <w:left w:val="nil"/>
              <w:bottom w:val="single" w:sz="4" w:space="0" w:color="auto"/>
              <w:right w:val="single" w:sz="4" w:space="0" w:color="auto"/>
            </w:tcBorders>
          </w:tcPr>
          <w:p w14:paraId="7285FF53" w14:textId="03287300" w:rsidR="00DE6B11" w:rsidRPr="007F61EF" w:rsidRDefault="00DE6B11" w:rsidP="00DE6B11">
            <w:pPr>
              <w:spacing w:before="60" w:after="60"/>
              <w:jc w:val="right"/>
              <w:rPr>
                <w:rFonts w:cs="Arial"/>
                <w:szCs w:val="20"/>
              </w:rPr>
            </w:pPr>
            <w:r w:rsidRPr="007F61EF">
              <w:rPr>
                <w:rFonts w:cs="Arial"/>
                <w:szCs w:val="20"/>
              </w:rPr>
              <w:t>0</w:t>
            </w:r>
          </w:p>
        </w:tc>
        <w:tc>
          <w:tcPr>
            <w:tcW w:w="917" w:type="dxa"/>
            <w:tcBorders>
              <w:top w:val="nil"/>
              <w:left w:val="nil"/>
              <w:bottom w:val="single" w:sz="4" w:space="0" w:color="auto"/>
              <w:right w:val="single" w:sz="4" w:space="0" w:color="auto"/>
            </w:tcBorders>
          </w:tcPr>
          <w:p w14:paraId="19A10F50" w14:textId="77EE755C" w:rsidR="00DE6B11" w:rsidRPr="007F61EF" w:rsidRDefault="00DE6B11" w:rsidP="00DE6B11">
            <w:pPr>
              <w:spacing w:before="60" w:after="60"/>
              <w:jc w:val="right"/>
              <w:rPr>
                <w:rFonts w:cs="Arial"/>
                <w:szCs w:val="20"/>
              </w:rPr>
            </w:pPr>
            <w:r w:rsidRPr="007F61EF">
              <w:rPr>
                <w:rFonts w:cs="Arial"/>
                <w:szCs w:val="20"/>
              </w:rPr>
              <w:t>0</w:t>
            </w:r>
          </w:p>
        </w:tc>
        <w:tc>
          <w:tcPr>
            <w:tcW w:w="916" w:type="dxa"/>
            <w:tcBorders>
              <w:top w:val="nil"/>
              <w:left w:val="nil"/>
              <w:bottom w:val="single" w:sz="4" w:space="0" w:color="auto"/>
              <w:right w:val="single" w:sz="4" w:space="0" w:color="auto"/>
            </w:tcBorders>
          </w:tcPr>
          <w:p w14:paraId="52D522CA" w14:textId="6E1A3BD6" w:rsidR="00DE6B11" w:rsidRPr="007F61EF" w:rsidRDefault="00DE6B11" w:rsidP="00DE6B11">
            <w:pPr>
              <w:spacing w:before="60" w:after="60"/>
              <w:jc w:val="right"/>
              <w:rPr>
                <w:rFonts w:cs="Arial"/>
                <w:szCs w:val="20"/>
              </w:rPr>
            </w:pPr>
            <w:r w:rsidRPr="007F61EF">
              <w:rPr>
                <w:rFonts w:cs="Arial"/>
                <w:szCs w:val="20"/>
              </w:rPr>
              <w:t>1</w:t>
            </w:r>
          </w:p>
        </w:tc>
        <w:tc>
          <w:tcPr>
            <w:tcW w:w="917" w:type="dxa"/>
            <w:tcBorders>
              <w:top w:val="nil"/>
              <w:left w:val="nil"/>
              <w:bottom w:val="single" w:sz="4" w:space="0" w:color="auto"/>
              <w:right w:val="single" w:sz="4" w:space="0" w:color="auto"/>
            </w:tcBorders>
          </w:tcPr>
          <w:p w14:paraId="55A47819" w14:textId="7EED44DD" w:rsidR="00DE6B11" w:rsidRPr="007F61EF" w:rsidRDefault="00DE6B11" w:rsidP="00DE6B11">
            <w:pPr>
              <w:spacing w:before="60" w:after="60"/>
              <w:jc w:val="right"/>
              <w:rPr>
                <w:rFonts w:cs="Arial"/>
                <w:szCs w:val="20"/>
              </w:rPr>
            </w:pPr>
            <w:r w:rsidRPr="007F61EF">
              <w:rPr>
                <w:rFonts w:cs="Arial"/>
                <w:szCs w:val="20"/>
              </w:rPr>
              <w:t>9</w:t>
            </w:r>
          </w:p>
        </w:tc>
        <w:tc>
          <w:tcPr>
            <w:tcW w:w="917" w:type="dxa"/>
            <w:tcBorders>
              <w:top w:val="nil"/>
              <w:left w:val="nil"/>
              <w:bottom w:val="single" w:sz="4" w:space="0" w:color="auto"/>
              <w:right w:val="single" w:sz="4" w:space="0" w:color="auto"/>
            </w:tcBorders>
          </w:tcPr>
          <w:p w14:paraId="21A03352" w14:textId="6DDCB626" w:rsidR="00DE6B11" w:rsidRPr="007F61EF" w:rsidRDefault="00DE6B11" w:rsidP="00DE6B11">
            <w:pPr>
              <w:spacing w:before="60" w:after="60"/>
              <w:jc w:val="right"/>
              <w:rPr>
                <w:rFonts w:cs="Arial"/>
                <w:b/>
                <w:bCs/>
                <w:szCs w:val="20"/>
              </w:rPr>
            </w:pPr>
            <w:r w:rsidRPr="007F61EF">
              <w:rPr>
                <w:rFonts w:cs="Arial"/>
                <w:b/>
                <w:bCs/>
                <w:szCs w:val="20"/>
              </w:rPr>
              <w:t>12</w:t>
            </w:r>
            <w:r w:rsidR="008C243E">
              <w:rPr>
                <w:rFonts w:cs="Arial"/>
                <w:b/>
                <w:bCs/>
                <w:szCs w:val="20"/>
              </w:rPr>
              <w:t>5</w:t>
            </w:r>
          </w:p>
        </w:tc>
      </w:tr>
      <w:tr w:rsidR="00DE6B11" w:rsidRPr="00224AA8" w14:paraId="0FA39E5E" w14:textId="77777777" w:rsidTr="00594D14">
        <w:trPr>
          <w:trHeight w:val="284"/>
        </w:trPr>
        <w:tc>
          <w:tcPr>
            <w:tcW w:w="2722" w:type="dxa"/>
            <w:tcBorders>
              <w:top w:val="nil"/>
              <w:left w:val="single" w:sz="4" w:space="0" w:color="auto"/>
              <w:bottom w:val="single" w:sz="4" w:space="0" w:color="auto"/>
              <w:right w:val="single" w:sz="4" w:space="0" w:color="auto"/>
            </w:tcBorders>
            <w:vAlign w:val="center"/>
            <w:hideMark/>
          </w:tcPr>
          <w:p w14:paraId="659A6EAC" w14:textId="77777777" w:rsidR="00DE6B11" w:rsidRPr="00224AA8" w:rsidRDefault="00DE6B11" w:rsidP="00DE6B11">
            <w:pPr>
              <w:spacing w:before="60" w:after="60"/>
            </w:pPr>
            <w:r w:rsidRPr="00224AA8">
              <w:t>Magistrates Court</w:t>
            </w:r>
          </w:p>
        </w:tc>
        <w:tc>
          <w:tcPr>
            <w:tcW w:w="916" w:type="dxa"/>
            <w:tcBorders>
              <w:top w:val="nil"/>
              <w:left w:val="nil"/>
              <w:bottom w:val="single" w:sz="4" w:space="0" w:color="auto"/>
              <w:right w:val="single" w:sz="4" w:space="0" w:color="auto"/>
            </w:tcBorders>
          </w:tcPr>
          <w:p w14:paraId="709496B2" w14:textId="6359C1B1" w:rsidR="00DE6B11" w:rsidRPr="007F61EF" w:rsidRDefault="00DE6B11" w:rsidP="00DE6B11">
            <w:pPr>
              <w:spacing w:before="60" w:after="60"/>
              <w:jc w:val="right"/>
              <w:rPr>
                <w:rFonts w:cs="Arial"/>
                <w:bCs/>
                <w:szCs w:val="20"/>
              </w:rPr>
            </w:pPr>
            <w:r w:rsidRPr="007F61EF">
              <w:rPr>
                <w:rFonts w:cs="Arial"/>
                <w:szCs w:val="20"/>
              </w:rPr>
              <w:t>718</w:t>
            </w:r>
          </w:p>
        </w:tc>
        <w:tc>
          <w:tcPr>
            <w:tcW w:w="917" w:type="dxa"/>
            <w:tcBorders>
              <w:top w:val="nil"/>
              <w:left w:val="nil"/>
              <w:bottom w:val="single" w:sz="4" w:space="0" w:color="auto"/>
              <w:right w:val="single" w:sz="4" w:space="0" w:color="auto"/>
            </w:tcBorders>
          </w:tcPr>
          <w:p w14:paraId="0F661F2E" w14:textId="15C6520B" w:rsidR="00DE6B11" w:rsidRPr="007F61EF" w:rsidRDefault="00DE6B11" w:rsidP="00DE6B11">
            <w:pPr>
              <w:spacing w:before="60" w:after="60"/>
              <w:jc w:val="right"/>
              <w:rPr>
                <w:rFonts w:cs="Arial"/>
                <w:bCs/>
                <w:szCs w:val="20"/>
              </w:rPr>
            </w:pPr>
            <w:r w:rsidRPr="007F61EF">
              <w:rPr>
                <w:rFonts w:cs="Arial"/>
                <w:szCs w:val="20"/>
              </w:rPr>
              <w:t>83</w:t>
            </w:r>
          </w:p>
        </w:tc>
        <w:tc>
          <w:tcPr>
            <w:tcW w:w="917" w:type="dxa"/>
            <w:tcBorders>
              <w:top w:val="nil"/>
              <w:left w:val="nil"/>
              <w:bottom w:val="single" w:sz="4" w:space="0" w:color="auto"/>
              <w:right w:val="single" w:sz="4" w:space="0" w:color="auto"/>
            </w:tcBorders>
          </w:tcPr>
          <w:p w14:paraId="5BC6EC92" w14:textId="454102CC" w:rsidR="00DE6B11" w:rsidRPr="007F61EF" w:rsidRDefault="00DE6B11" w:rsidP="00DE6B11">
            <w:pPr>
              <w:spacing w:before="60" w:after="60"/>
              <w:jc w:val="right"/>
              <w:rPr>
                <w:rFonts w:cs="Arial"/>
                <w:szCs w:val="20"/>
              </w:rPr>
            </w:pPr>
            <w:r w:rsidRPr="007F61EF">
              <w:rPr>
                <w:rFonts w:cs="Arial"/>
                <w:szCs w:val="20"/>
              </w:rPr>
              <w:t>0</w:t>
            </w:r>
          </w:p>
        </w:tc>
        <w:tc>
          <w:tcPr>
            <w:tcW w:w="916" w:type="dxa"/>
            <w:tcBorders>
              <w:top w:val="nil"/>
              <w:left w:val="nil"/>
              <w:bottom w:val="single" w:sz="4" w:space="0" w:color="auto"/>
              <w:right w:val="single" w:sz="4" w:space="0" w:color="auto"/>
            </w:tcBorders>
          </w:tcPr>
          <w:p w14:paraId="796E741A" w14:textId="47D3B328" w:rsidR="00DE6B11" w:rsidRPr="007F61EF" w:rsidRDefault="00DE6B11" w:rsidP="00DE6B11">
            <w:pPr>
              <w:spacing w:before="60" w:after="60"/>
              <w:jc w:val="right"/>
              <w:rPr>
                <w:rFonts w:cs="Arial"/>
                <w:bCs/>
                <w:szCs w:val="20"/>
              </w:rPr>
            </w:pPr>
            <w:r w:rsidRPr="007F61EF">
              <w:rPr>
                <w:rFonts w:cs="Arial"/>
                <w:szCs w:val="20"/>
              </w:rPr>
              <w:t>184</w:t>
            </w:r>
          </w:p>
        </w:tc>
        <w:tc>
          <w:tcPr>
            <w:tcW w:w="917" w:type="dxa"/>
            <w:tcBorders>
              <w:top w:val="nil"/>
              <w:left w:val="nil"/>
              <w:bottom w:val="single" w:sz="4" w:space="0" w:color="auto"/>
              <w:right w:val="single" w:sz="4" w:space="0" w:color="auto"/>
            </w:tcBorders>
          </w:tcPr>
          <w:p w14:paraId="1D690C33" w14:textId="7B36C79C" w:rsidR="00DE6B11" w:rsidRPr="007F61EF" w:rsidRDefault="00DE6B11" w:rsidP="00DE6B11">
            <w:pPr>
              <w:spacing w:before="60" w:after="60"/>
              <w:jc w:val="right"/>
              <w:rPr>
                <w:rFonts w:cs="Arial"/>
                <w:bCs/>
                <w:szCs w:val="20"/>
              </w:rPr>
            </w:pPr>
            <w:r w:rsidRPr="007F61EF">
              <w:rPr>
                <w:rFonts w:cs="Arial"/>
                <w:szCs w:val="20"/>
              </w:rPr>
              <w:t>55</w:t>
            </w:r>
          </w:p>
        </w:tc>
        <w:tc>
          <w:tcPr>
            <w:tcW w:w="917" w:type="dxa"/>
            <w:tcBorders>
              <w:top w:val="nil"/>
              <w:left w:val="nil"/>
              <w:bottom w:val="single" w:sz="4" w:space="0" w:color="auto"/>
              <w:right w:val="single" w:sz="4" w:space="0" w:color="auto"/>
            </w:tcBorders>
          </w:tcPr>
          <w:p w14:paraId="6205B2A7" w14:textId="05CBFF8A" w:rsidR="00DE6B11" w:rsidRPr="007F61EF" w:rsidRDefault="00DE6B11" w:rsidP="00DE6B11">
            <w:pPr>
              <w:spacing w:before="60" w:after="60"/>
              <w:jc w:val="right"/>
              <w:rPr>
                <w:rFonts w:cs="Arial"/>
                <w:b/>
                <w:bCs/>
                <w:szCs w:val="20"/>
              </w:rPr>
            </w:pPr>
            <w:r w:rsidRPr="007F61EF">
              <w:rPr>
                <w:rFonts w:cs="Arial"/>
                <w:b/>
                <w:bCs/>
                <w:szCs w:val="20"/>
              </w:rPr>
              <w:t>1,040</w:t>
            </w:r>
          </w:p>
        </w:tc>
      </w:tr>
      <w:tr w:rsidR="00DE6B11" w:rsidRPr="00224AA8" w14:paraId="5E1E709B" w14:textId="77777777" w:rsidTr="00594D14">
        <w:trPr>
          <w:trHeight w:val="284"/>
        </w:trPr>
        <w:tc>
          <w:tcPr>
            <w:tcW w:w="2722" w:type="dxa"/>
            <w:tcBorders>
              <w:top w:val="nil"/>
              <w:left w:val="single" w:sz="4" w:space="0" w:color="auto"/>
              <w:bottom w:val="single" w:sz="4" w:space="0" w:color="auto"/>
              <w:right w:val="single" w:sz="4" w:space="0" w:color="auto"/>
            </w:tcBorders>
            <w:vAlign w:val="center"/>
            <w:hideMark/>
          </w:tcPr>
          <w:p w14:paraId="12FF2CA1" w14:textId="77777777" w:rsidR="00DE6B11" w:rsidRPr="00224AA8" w:rsidRDefault="00DE6B11" w:rsidP="00DE6B11">
            <w:pPr>
              <w:spacing w:before="60" w:after="60"/>
            </w:pPr>
            <w:r w:rsidRPr="00224AA8">
              <w:t>Domestic Violence Breach</w:t>
            </w:r>
          </w:p>
        </w:tc>
        <w:tc>
          <w:tcPr>
            <w:tcW w:w="916" w:type="dxa"/>
            <w:tcBorders>
              <w:top w:val="nil"/>
              <w:left w:val="nil"/>
              <w:bottom w:val="single" w:sz="4" w:space="0" w:color="auto"/>
              <w:right w:val="single" w:sz="4" w:space="0" w:color="auto"/>
            </w:tcBorders>
          </w:tcPr>
          <w:p w14:paraId="625FE3F8" w14:textId="543B24CA" w:rsidR="00DE6B11" w:rsidRPr="007F61EF" w:rsidRDefault="00DE6B11" w:rsidP="00DE6B11">
            <w:pPr>
              <w:spacing w:before="60" w:after="60"/>
              <w:jc w:val="right"/>
              <w:rPr>
                <w:rFonts w:cs="Arial"/>
                <w:bCs/>
                <w:szCs w:val="20"/>
              </w:rPr>
            </w:pPr>
            <w:r w:rsidRPr="007F61EF">
              <w:rPr>
                <w:rFonts w:cs="Arial"/>
                <w:szCs w:val="20"/>
              </w:rPr>
              <w:t>42</w:t>
            </w:r>
          </w:p>
        </w:tc>
        <w:tc>
          <w:tcPr>
            <w:tcW w:w="917" w:type="dxa"/>
            <w:tcBorders>
              <w:top w:val="nil"/>
              <w:left w:val="nil"/>
              <w:bottom w:val="single" w:sz="4" w:space="0" w:color="auto"/>
              <w:right w:val="single" w:sz="4" w:space="0" w:color="auto"/>
            </w:tcBorders>
          </w:tcPr>
          <w:p w14:paraId="13B985E0" w14:textId="0C67B4D3" w:rsidR="00DE6B11" w:rsidRPr="007F61EF" w:rsidRDefault="00DE6B11" w:rsidP="00DE6B11">
            <w:pPr>
              <w:spacing w:before="60" w:after="60"/>
              <w:jc w:val="right"/>
              <w:rPr>
                <w:rFonts w:cs="Arial"/>
                <w:szCs w:val="20"/>
              </w:rPr>
            </w:pPr>
            <w:r w:rsidRPr="007F61EF">
              <w:rPr>
                <w:rFonts w:cs="Arial"/>
                <w:szCs w:val="20"/>
              </w:rPr>
              <w:t>5</w:t>
            </w:r>
          </w:p>
        </w:tc>
        <w:tc>
          <w:tcPr>
            <w:tcW w:w="917" w:type="dxa"/>
            <w:tcBorders>
              <w:top w:val="nil"/>
              <w:left w:val="nil"/>
              <w:bottom w:val="single" w:sz="4" w:space="0" w:color="auto"/>
              <w:right w:val="single" w:sz="4" w:space="0" w:color="auto"/>
            </w:tcBorders>
          </w:tcPr>
          <w:p w14:paraId="4F51A19D" w14:textId="297F4C74" w:rsidR="00DE6B11" w:rsidRPr="007F61EF" w:rsidRDefault="00DE6B11" w:rsidP="00DE6B11">
            <w:pPr>
              <w:spacing w:before="60" w:after="60"/>
              <w:jc w:val="right"/>
              <w:rPr>
                <w:rFonts w:cs="Arial"/>
                <w:szCs w:val="20"/>
              </w:rPr>
            </w:pPr>
            <w:r w:rsidRPr="007F61EF">
              <w:rPr>
                <w:rFonts w:cs="Arial"/>
                <w:szCs w:val="20"/>
              </w:rPr>
              <w:t>0</w:t>
            </w:r>
          </w:p>
        </w:tc>
        <w:tc>
          <w:tcPr>
            <w:tcW w:w="916" w:type="dxa"/>
            <w:tcBorders>
              <w:top w:val="nil"/>
              <w:left w:val="nil"/>
              <w:bottom w:val="single" w:sz="4" w:space="0" w:color="auto"/>
              <w:right w:val="single" w:sz="4" w:space="0" w:color="auto"/>
            </w:tcBorders>
          </w:tcPr>
          <w:p w14:paraId="09B1E991" w14:textId="3260FF00" w:rsidR="00DE6B11" w:rsidRPr="007F61EF" w:rsidRDefault="00DE6B11" w:rsidP="00DE6B11">
            <w:pPr>
              <w:spacing w:before="60" w:after="60"/>
              <w:jc w:val="right"/>
              <w:rPr>
                <w:rFonts w:cs="Arial"/>
                <w:bCs/>
                <w:szCs w:val="20"/>
              </w:rPr>
            </w:pPr>
            <w:r w:rsidRPr="007F61EF">
              <w:rPr>
                <w:rFonts w:cs="Arial"/>
                <w:szCs w:val="20"/>
              </w:rPr>
              <w:t>45</w:t>
            </w:r>
          </w:p>
        </w:tc>
        <w:tc>
          <w:tcPr>
            <w:tcW w:w="917" w:type="dxa"/>
            <w:tcBorders>
              <w:top w:val="nil"/>
              <w:left w:val="nil"/>
              <w:bottom w:val="single" w:sz="4" w:space="0" w:color="auto"/>
              <w:right w:val="single" w:sz="4" w:space="0" w:color="auto"/>
            </w:tcBorders>
          </w:tcPr>
          <w:p w14:paraId="095A17E0" w14:textId="423E286E" w:rsidR="00DE6B11" w:rsidRPr="007F61EF" w:rsidRDefault="00DE6B11" w:rsidP="00DE6B11">
            <w:pPr>
              <w:spacing w:before="60" w:after="60"/>
              <w:jc w:val="right"/>
              <w:rPr>
                <w:rFonts w:cs="Arial"/>
                <w:szCs w:val="20"/>
              </w:rPr>
            </w:pPr>
            <w:r w:rsidRPr="007F61EF">
              <w:rPr>
                <w:rFonts w:cs="Arial"/>
                <w:szCs w:val="20"/>
              </w:rPr>
              <w:t>10</w:t>
            </w:r>
          </w:p>
        </w:tc>
        <w:tc>
          <w:tcPr>
            <w:tcW w:w="917" w:type="dxa"/>
            <w:tcBorders>
              <w:top w:val="nil"/>
              <w:left w:val="nil"/>
              <w:bottom w:val="single" w:sz="4" w:space="0" w:color="auto"/>
              <w:right w:val="single" w:sz="4" w:space="0" w:color="auto"/>
            </w:tcBorders>
          </w:tcPr>
          <w:p w14:paraId="6052A8B1" w14:textId="0BFDC7B6" w:rsidR="00DE6B11" w:rsidRPr="007F61EF" w:rsidRDefault="00DE6B11" w:rsidP="00DE6B11">
            <w:pPr>
              <w:spacing w:before="60" w:after="60"/>
              <w:jc w:val="right"/>
              <w:rPr>
                <w:rFonts w:cs="Arial"/>
                <w:b/>
                <w:bCs/>
                <w:szCs w:val="20"/>
              </w:rPr>
            </w:pPr>
            <w:r w:rsidRPr="007F61EF">
              <w:rPr>
                <w:rFonts w:cs="Arial"/>
                <w:b/>
                <w:bCs/>
                <w:szCs w:val="20"/>
              </w:rPr>
              <w:t>102</w:t>
            </w:r>
          </w:p>
        </w:tc>
      </w:tr>
      <w:tr w:rsidR="00DE6B11" w:rsidRPr="00224AA8" w14:paraId="188E1239" w14:textId="77777777" w:rsidTr="00594D14">
        <w:trPr>
          <w:trHeight w:val="284"/>
        </w:trPr>
        <w:tc>
          <w:tcPr>
            <w:tcW w:w="2722" w:type="dxa"/>
            <w:tcBorders>
              <w:top w:val="nil"/>
              <w:left w:val="single" w:sz="4" w:space="0" w:color="auto"/>
              <w:bottom w:val="single" w:sz="4" w:space="0" w:color="auto"/>
              <w:right w:val="single" w:sz="4" w:space="0" w:color="auto"/>
            </w:tcBorders>
            <w:vAlign w:val="center"/>
            <w:hideMark/>
          </w:tcPr>
          <w:p w14:paraId="50D2D023" w14:textId="77777777" w:rsidR="00DE6B11" w:rsidRPr="00224AA8" w:rsidRDefault="00DE6B11" w:rsidP="00DE6B11">
            <w:pPr>
              <w:spacing w:before="60" w:after="60"/>
            </w:pPr>
            <w:r w:rsidRPr="00224AA8">
              <w:t>Domestic Violence Order</w:t>
            </w:r>
          </w:p>
        </w:tc>
        <w:tc>
          <w:tcPr>
            <w:tcW w:w="916" w:type="dxa"/>
            <w:tcBorders>
              <w:top w:val="nil"/>
              <w:left w:val="nil"/>
              <w:bottom w:val="single" w:sz="4" w:space="0" w:color="auto"/>
              <w:right w:val="single" w:sz="4" w:space="0" w:color="auto"/>
            </w:tcBorders>
          </w:tcPr>
          <w:p w14:paraId="4287A2C9" w14:textId="272FE85E" w:rsidR="00DE6B11" w:rsidRPr="007F61EF" w:rsidRDefault="00DE6B11" w:rsidP="00DE6B11">
            <w:pPr>
              <w:spacing w:before="60" w:after="60"/>
              <w:jc w:val="right"/>
              <w:rPr>
                <w:rFonts w:cs="Arial"/>
                <w:bCs/>
                <w:szCs w:val="20"/>
              </w:rPr>
            </w:pPr>
            <w:r w:rsidRPr="007F61EF">
              <w:rPr>
                <w:rFonts w:cs="Arial"/>
                <w:szCs w:val="20"/>
              </w:rPr>
              <w:t>119</w:t>
            </w:r>
          </w:p>
        </w:tc>
        <w:tc>
          <w:tcPr>
            <w:tcW w:w="917" w:type="dxa"/>
            <w:tcBorders>
              <w:top w:val="nil"/>
              <w:left w:val="nil"/>
              <w:bottom w:val="single" w:sz="4" w:space="0" w:color="auto"/>
              <w:right w:val="single" w:sz="4" w:space="0" w:color="auto"/>
            </w:tcBorders>
          </w:tcPr>
          <w:p w14:paraId="687CCB37" w14:textId="29EB49AB" w:rsidR="00DE6B11" w:rsidRPr="007F61EF" w:rsidRDefault="00DE6B11" w:rsidP="00DE6B11">
            <w:pPr>
              <w:spacing w:before="60" w:after="60"/>
              <w:jc w:val="right"/>
              <w:rPr>
                <w:rFonts w:cs="Arial"/>
                <w:bCs/>
                <w:szCs w:val="20"/>
              </w:rPr>
            </w:pPr>
            <w:r w:rsidRPr="007F61EF">
              <w:rPr>
                <w:rFonts w:cs="Arial"/>
                <w:szCs w:val="20"/>
              </w:rPr>
              <w:t>20</w:t>
            </w:r>
          </w:p>
        </w:tc>
        <w:tc>
          <w:tcPr>
            <w:tcW w:w="917" w:type="dxa"/>
            <w:tcBorders>
              <w:top w:val="nil"/>
              <w:left w:val="nil"/>
              <w:bottom w:val="single" w:sz="4" w:space="0" w:color="auto"/>
              <w:right w:val="single" w:sz="4" w:space="0" w:color="auto"/>
            </w:tcBorders>
          </w:tcPr>
          <w:p w14:paraId="168CE0CA" w14:textId="40701B52" w:rsidR="00DE6B11" w:rsidRPr="007F61EF" w:rsidRDefault="00DE6B11" w:rsidP="00DE6B11">
            <w:pPr>
              <w:spacing w:before="60" w:after="60"/>
              <w:jc w:val="right"/>
              <w:rPr>
                <w:rFonts w:cs="Arial"/>
                <w:szCs w:val="20"/>
              </w:rPr>
            </w:pPr>
            <w:r w:rsidRPr="007F61EF">
              <w:rPr>
                <w:rFonts w:cs="Arial"/>
                <w:szCs w:val="20"/>
              </w:rPr>
              <w:t>0</w:t>
            </w:r>
          </w:p>
        </w:tc>
        <w:tc>
          <w:tcPr>
            <w:tcW w:w="916" w:type="dxa"/>
            <w:tcBorders>
              <w:top w:val="nil"/>
              <w:left w:val="nil"/>
              <w:bottom w:val="single" w:sz="4" w:space="0" w:color="auto"/>
              <w:right w:val="single" w:sz="4" w:space="0" w:color="auto"/>
            </w:tcBorders>
          </w:tcPr>
          <w:p w14:paraId="359856C3" w14:textId="2E30AA63" w:rsidR="00DE6B11" w:rsidRPr="007F61EF" w:rsidRDefault="00DE6B11" w:rsidP="00DE6B11">
            <w:pPr>
              <w:spacing w:before="60" w:after="60"/>
              <w:jc w:val="right"/>
              <w:rPr>
                <w:rFonts w:cs="Arial"/>
                <w:bCs/>
                <w:szCs w:val="20"/>
              </w:rPr>
            </w:pPr>
            <w:r w:rsidRPr="007F61EF">
              <w:rPr>
                <w:rFonts w:cs="Arial"/>
                <w:szCs w:val="20"/>
              </w:rPr>
              <w:t>63</w:t>
            </w:r>
          </w:p>
        </w:tc>
        <w:tc>
          <w:tcPr>
            <w:tcW w:w="917" w:type="dxa"/>
            <w:tcBorders>
              <w:top w:val="nil"/>
              <w:left w:val="nil"/>
              <w:bottom w:val="single" w:sz="4" w:space="0" w:color="auto"/>
              <w:right w:val="single" w:sz="4" w:space="0" w:color="auto"/>
            </w:tcBorders>
          </w:tcPr>
          <w:p w14:paraId="30454537" w14:textId="16CC4A71" w:rsidR="00DE6B11" w:rsidRPr="007F61EF" w:rsidRDefault="00DE6B11" w:rsidP="00DE6B11">
            <w:pPr>
              <w:spacing w:before="60" w:after="60"/>
              <w:jc w:val="right"/>
              <w:rPr>
                <w:rFonts w:cs="Arial"/>
                <w:bCs/>
                <w:szCs w:val="20"/>
              </w:rPr>
            </w:pPr>
            <w:r w:rsidRPr="007F61EF">
              <w:rPr>
                <w:rFonts w:cs="Arial"/>
                <w:szCs w:val="20"/>
              </w:rPr>
              <w:t>12</w:t>
            </w:r>
          </w:p>
        </w:tc>
        <w:tc>
          <w:tcPr>
            <w:tcW w:w="917" w:type="dxa"/>
            <w:tcBorders>
              <w:top w:val="nil"/>
              <w:left w:val="nil"/>
              <w:bottom w:val="single" w:sz="4" w:space="0" w:color="auto"/>
              <w:right w:val="single" w:sz="4" w:space="0" w:color="auto"/>
            </w:tcBorders>
          </w:tcPr>
          <w:p w14:paraId="6C7D28AB" w14:textId="4E2C1059" w:rsidR="00DE6B11" w:rsidRPr="007F61EF" w:rsidRDefault="00DE6B11" w:rsidP="00DE6B11">
            <w:pPr>
              <w:spacing w:before="60" w:after="60"/>
              <w:jc w:val="right"/>
              <w:rPr>
                <w:rFonts w:cs="Arial"/>
                <w:b/>
                <w:bCs/>
                <w:szCs w:val="20"/>
              </w:rPr>
            </w:pPr>
            <w:r w:rsidRPr="007F61EF">
              <w:rPr>
                <w:rFonts w:cs="Arial"/>
                <w:b/>
                <w:bCs/>
                <w:szCs w:val="20"/>
              </w:rPr>
              <w:t>214</w:t>
            </w:r>
          </w:p>
        </w:tc>
      </w:tr>
      <w:tr w:rsidR="00DE6B11" w:rsidRPr="00224AA8" w14:paraId="50465A43" w14:textId="77777777" w:rsidTr="00594D14">
        <w:trPr>
          <w:trHeight w:val="284"/>
        </w:trPr>
        <w:tc>
          <w:tcPr>
            <w:tcW w:w="2722" w:type="dxa"/>
            <w:tcBorders>
              <w:top w:val="nil"/>
              <w:left w:val="single" w:sz="4" w:space="0" w:color="auto"/>
              <w:bottom w:val="single" w:sz="4" w:space="0" w:color="auto"/>
              <w:right w:val="single" w:sz="4" w:space="0" w:color="auto"/>
            </w:tcBorders>
            <w:vAlign w:val="center"/>
            <w:hideMark/>
          </w:tcPr>
          <w:p w14:paraId="1D5DCFFA" w14:textId="77777777" w:rsidR="00DE6B11" w:rsidRPr="00224AA8" w:rsidRDefault="00DE6B11" w:rsidP="00DE6B11">
            <w:pPr>
              <w:spacing w:before="60" w:after="60"/>
            </w:pPr>
            <w:r w:rsidRPr="00224AA8">
              <w:t>School Attendance</w:t>
            </w:r>
          </w:p>
        </w:tc>
        <w:tc>
          <w:tcPr>
            <w:tcW w:w="916" w:type="dxa"/>
            <w:tcBorders>
              <w:top w:val="nil"/>
              <w:left w:val="nil"/>
              <w:bottom w:val="single" w:sz="4" w:space="0" w:color="auto"/>
              <w:right w:val="single" w:sz="4" w:space="0" w:color="auto"/>
            </w:tcBorders>
          </w:tcPr>
          <w:p w14:paraId="3300774C" w14:textId="2E0B7613" w:rsidR="00DE6B11" w:rsidRPr="007F61EF" w:rsidRDefault="00DE6B11" w:rsidP="00DE6B11">
            <w:pPr>
              <w:spacing w:before="60" w:after="60"/>
              <w:jc w:val="right"/>
              <w:rPr>
                <w:rFonts w:cs="Arial"/>
                <w:bCs/>
                <w:szCs w:val="20"/>
              </w:rPr>
            </w:pPr>
            <w:r w:rsidRPr="007F61EF">
              <w:rPr>
                <w:rFonts w:cs="Arial"/>
                <w:szCs w:val="20"/>
              </w:rPr>
              <w:t>782</w:t>
            </w:r>
          </w:p>
        </w:tc>
        <w:tc>
          <w:tcPr>
            <w:tcW w:w="917" w:type="dxa"/>
            <w:tcBorders>
              <w:top w:val="nil"/>
              <w:left w:val="nil"/>
              <w:bottom w:val="single" w:sz="4" w:space="0" w:color="auto"/>
              <w:right w:val="single" w:sz="4" w:space="0" w:color="auto"/>
            </w:tcBorders>
          </w:tcPr>
          <w:p w14:paraId="33ED7168" w14:textId="676188FE" w:rsidR="00DE6B11" w:rsidRPr="007F61EF" w:rsidRDefault="00DE6B11" w:rsidP="00DE6B11">
            <w:pPr>
              <w:spacing w:before="60" w:after="60"/>
              <w:jc w:val="right"/>
              <w:rPr>
                <w:rFonts w:cs="Arial"/>
                <w:bCs/>
                <w:szCs w:val="20"/>
              </w:rPr>
            </w:pPr>
            <w:r w:rsidRPr="007F61EF">
              <w:rPr>
                <w:rFonts w:cs="Arial"/>
                <w:szCs w:val="20"/>
              </w:rPr>
              <w:t>84</w:t>
            </w:r>
          </w:p>
        </w:tc>
        <w:tc>
          <w:tcPr>
            <w:tcW w:w="917" w:type="dxa"/>
            <w:tcBorders>
              <w:top w:val="nil"/>
              <w:left w:val="nil"/>
              <w:bottom w:val="single" w:sz="4" w:space="0" w:color="auto"/>
              <w:right w:val="single" w:sz="4" w:space="0" w:color="auto"/>
            </w:tcBorders>
          </w:tcPr>
          <w:p w14:paraId="3724719B" w14:textId="32D756B9" w:rsidR="00DE6B11" w:rsidRPr="007F61EF" w:rsidRDefault="00DE6B11" w:rsidP="00DE6B11">
            <w:pPr>
              <w:spacing w:before="60" w:after="60"/>
              <w:jc w:val="right"/>
              <w:rPr>
                <w:rFonts w:cs="Arial"/>
                <w:bCs/>
                <w:szCs w:val="20"/>
              </w:rPr>
            </w:pPr>
            <w:r w:rsidRPr="007F61EF">
              <w:rPr>
                <w:rFonts w:cs="Arial"/>
                <w:szCs w:val="20"/>
              </w:rPr>
              <w:t>1,322</w:t>
            </w:r>
          </w:p>
        </w:tc>
        <w:tc>
          <w:tcPr>
            <w:tcW w:w="916" w:type="dxa"/>
            <w:tcBorders>
              <w:top w:val="nil"/>
              <w:left w:val="nil"/>
              <w:bottom w:val="single" w:sz="4" w:space="0" w:color="auto"/>
              <w:right w:val="single" w:sz="4" w:space="0" w:color="auto"/>
            </w:tcBorders>
          </w:tcPr>
          <w:p w14:paraId="0C272473" w14:textId="0B48EC67" w:rsidR="00DE6B11" w:rsidRPr="007F61EF" w:rsidRDefault="00DE6B11" w:rsidP="00DE6B11">
            <w:pPr>
              <w:spacing w:before="60" w:after="60"/>
              <w:jc w:val="right"/>
              <w:rPr>
                <w:rFonts w:cs="Arial"/>
                <w:bCs/>
                <w:szCs w:val="20"/>
              </w:rPr>
            </w:pPr>
            <w:r w:rsidRPr="007F61EF">
              <w:rPr>
                <w:rFonts w:cs="Arial"/>
                <w:szCs w:val="20"/>
              </w:rPr>
              <w:t>560</w:t>
            </w:r>
          </w:p>
        </w:tc>
        <w:tc>
          <w:tcPr>
            <w:tcW w:w="917" w:type="dxa"/>
            <w:tcBorders>
              <w:top w:val="nil"/>
              <w:left w:val="nil"/>
              <w:bottom w:val="single" w:sz="4" w:space="0" w:color="auto"/>
              <w:right w:val="single" w:sz="4" w:space="0" w:color="auto"/>
            </w:tcBorders>
          </w:tcPr>
          <w:p w14:paraId="54ADFAC9" w14:textId="663BDC85" w:rsidR="00DE6B11" w:rsidRPr="007F61EF" w:rsidRDefault="00DE6B11" w:rsidP="00DE6B11">
            <w:pPr>
              <w:spacing w:before="60" w:after="60"/>
              <w:jc w:val="right"/>
              <w:rPr>
                <w:rFonts w:cs="Arial"/>
                <w:bCs/>
                <w:szCs w:val="20"/>
              </w:rPr>
            </w:pPr>
            <w:r w:rsidRPr="007F61EF">
              <w:rPr>
                <w:rFonts w:cs="Arial"/>
                <w:szCs w:val="20"/>
              </w:rPr>
              <w:t>96</w:t>
            </w:r>
          </w:p>
        </w:tc>
        <w:tc>
          <w:tcPr>
            <w:tcW w:w="917" w:type="dxa"/>
            <w:tcBorders>
              <w:top w:val="nil"/>
              <w:left w:val="nil"/>
              <w:bottom w:val="single" w:sz="4" w:space="0" w:color="auto"/>
              <w:right w:val="single" w:sz="4" w:space="0" w:color="auto"/>
            </w:tcBorders>
          </w:tcPr>
          <w:p w14:paraId="317AD4E6" w14:textId="6FE8DF40" w:rsidR="00DE6B11" w:rsidRPr="007F61EF" w:rsidRDefault="00DE6B11" w:rsidP="00DE6B11">
            <w:pPr>
              <w:spacing w:before="60" w:after="60"/>
              <w:jc w:val="right"/>
              <w:rPr>
                <w:rFonts w:cs="Arial"/>
                <w:b/>
                <w:bCs/>
                <w:szCs w:val="20"/>
              </w:rPr>
            </w:pPr>
            <w:r w:rsidRPr="007F61EF">
              <w:rPr>
                <w:rFonts w:cs="Arial"/>
                <w:b/>
                <w:bCs/>
                <w:szCs w:val="20"/>
              </w:rPr>
              <w:t>2,844</w:t>
            </w:r>
          </w:p>
        </w:tc>
      </w:tr>
      <w:tr w:rsidR="00DE6B11" w:rsidRPr="00224AA8" w14:paraId="63A7E12B" w14:textId="77777777" w:rsidTr="00594D14">
        <w:trPr>
          <w:trHeight w:val="284"/>
        </w:trPr>
        <w:tc>
          <w:tcPr>
            <w:tcW w:w="2722" w:type="dxa"/>
            <w:tcBorders>
              <w:top w:val="nil"/>
              <w:left w:val="single" w:sz="4" w:space="0" w:color="auto"/>
              <w:bottom w:val="single" w:sz="4" w:space="0" w:color="auto"/>
              <w:right w:val="single" w:sz="4" w:space="0" w:color="auto"/>
            </w:tcBorders>
            <w:vAlign w:val="center"/>
            <w:hideMark/>
          </w:tcPr>
          <w:p w14:paraId="3601ACF5" w14:textId="77777777" w:rsidR="00DE6B11" w:rsidRPr="00224AA8" w:rsidRDefault="00DE6B11" w:rsidP="00DE6B11">
            <w:pPr>
              <w:spacing w:before="60" w:after="60"/>
            </w:pPr>
            <w:r w:rsidRPr="00224AA8">
              <w:t>School Enrolment</w:t>
            </w:r>
          </w:p>
        </w:tc>
        <w:tc>
          <w:tcPr>
            <w:tcW w:w="916" w:type="dxa"/>
            <w:tcBorders>
              <w:top w:val="nil"/>
              <w:left w:val="nil"/>
              <w:bottom w:val="single" w:sz="4" w:space="0" w:color="auto"/>
              <w:right w:val="single" w:sz="4" w:space="0" w:color="auto"/>
            </w:tcBorders>
          </w:tcPr>
          <w:p w14:paraId="79550D11" w14:textId="75D5C14D" w:rsidR="00DE6B11" w:rsidRPr="007F61EF" w:rsidRDefault="00DE6B11" w:rsidP="00DE6B11">
            <w:pPr>
              <w:spacing w:before="60" w:after="60"/>
              <w:jc w:val="right"/>
              <w:rPr>
                <w:rFonts w:cs="Arial"/>
                <w:bCs/>
                <w:szCs w:val="20"/>
              </w:rPr>
            </w:pPr>
            <w:r w:rsidRPr="007F61EF">
              <w:rPr>
                <w:rFonts w:cs="Arial"/>
                <w:szCs w:val="20"/>
              </w:rPr>
              <w:t>6</w:t>
            </w:r>
          </w:p>
        </w:tc>
        <w:tc>
          <w:tcPr>
            <w:tcW w:w="917" w:type="dxa"/>
            <w:tcBorders>
              <w:top w:val="nil"/>
              <w:left w:val="nil"/>
              <w:bottom w:val="single" w:sz="4" w:space="0" w:color="auto"/>
              <w:right w:val="single" w:sz="4" w:space="0" w:color="auto"/>
            </w:tcBorders>
          </w:tcPr>
          <w:p w14:paraId="4EE32BC1" w14:textId="6A77DEEB" w:rsidR="00DE6B11" w:rsidRPr="007F61EF" w:rsidRDefault="00DE6B11" w:rsidP="00DE6B11">
            <w:pPr>
              <w:spacing w:before="60" w:after="60"/>
              <w:jc w:val="right"/>
              <w:rPr>
                <w:rFonts w:cs="Arial"/>
                <w:szCs w:val="20"/>
              </w:rPr>
            </w:pPr>
            <w:r w:rsidRPr="007F61EF">
              <w:rPr>
                <w:rFonts w:cs="Arial"/>
                <w:szCs w:val="20"/>
              </w:rPr>
              <w:t>0</w:t>
            </w:r>
          </w:p>
        </w:tc>
        <w:tc>
          <w:tcPr>
            <w:tcW w:w="917" w:type="dxa"/>
            <w:tcBorders>
              <w:top w:val="nil"/>
              <w:left w:val="nil"/>
              <w:bottom w:val="single" w:sz="4" w:space="0" w:color="auto"/>
              <w:right w:val="single" w:sz="4" w:space="0" w:color="auto"/>
            </w:tcBorders>
          </w:tcPr>
          <w:p w14:paraId="7C125836" w14:textId="59C36561" w:rsidR="00DE6B11" w:rsidRPr="007F61EF" w:rsidRDefault="00DE6B11" w:rsidP="00DE6B11">
            <w:pPr>
              <w:spacing w:before="60" w:after="60"/>
              <w:jc w:val="right"/>
              <w:rPr>
                <w:rFonts w:cs="Arial"/>
                <w:szCs w:val="20"/>
              </w:rPr>
            </w:pPr>
            <w:r w:rsidRPr="007F61EF">
              <w:rPr>
                <w:rFonts w:cs="Arial"/>
                <w:szCs w:val="20"/>
              </w:rPr>
              <w:t>1</w:t>
            </w:r>
          </w:p>
        </w:tc>
        <w:tc>
          <w:tcPr>
            <w:tcW w:w="916" w:type="dxa"/>
            <w:tcBorders>
              <w:top w:val="nil"/>
              <w:left w:val="nil"/>
              <w:bottom w:val="single" w:sz="4" w:space="0" w:color="auto"/>
              <w:right w:val="single" w:sz="4" w:space="0" w:color="auto"/>
            </w:tcBorders>
          </w:tcPr>
          <w:p w14:paraId="66CF0C4C" w14:textId="1D7EE01E" w:rsidR="00DE6B11" w:rsidRPr="007F61EF" w:rsidRDefault="00DE6B11" w:rsidP="00DE6B11">
            <w:pPr>
              <w:spacing w:before="60" w:after="60"/>
              <w:jc w:val="right"/>
              <w:rPr>
                <w:rFonts w:cs="Arial"/>
                <w:szCs w:val="20"/>
              </w:rPr>
            </w:pPr>
            <w:r w:rsidRPr="007F61EF">
              <w:rPr>
                <w:rFonts w:cs="Arial"/>
                <w:szCs w:val="20"/>
              </w:rPr>
              <w:t>2</w:t>
            </w:r>
          </w:p>
        </w:tc>
        <w:tc>
          <w:tcPr>
            <w:tcW w:w="917" w:type="dxa"/>
            <w:tcBorders>
              <w:top w:val="nil"/>
              <w:left w:val="nil"/>
              <w:bottom w:val="single" w:sz="4" w:space="0" w:color="auto"/>
              <w:right w:val="single" w:sz="4" w:space="0" w:color="auto"/>
            </w:tcBorders>
          </w:tcPr>
          <w:p w14:paraId="3017A30A" w14:textId="75C0B0A2" w:rsidR="00DE6B11" w:rsidRPr="007F61EF" w:rsidRDefault="00DE6B11" w:rsidP="00DE6B11">
            <w:pPr>
              <w:spacing w:before="60" w:after="60"/>
              <w:jc w:val="right"/>
              <w:rPr>
                <w:rFonts w:cs="Arial"/>
                <w:szCs w:val="20"/>
              </w:rPr>
            </w:pPr>
            <w:r w:rsidRPr="007F61EF">
              <w:rPr>
                <w:rFonts w:cs="Arial"/>
                <w:szCs w:val="20"/>
              </w:rPr>
              <w:t>0</w:t>
            </w:r>
          </w:p>
        </w:tc>
        <w:tc>
          <w:tcPr>
            <w:tcW w:w="917" w:type="dxa"/>
            <w:tcBorders>
              <w:top w:val="nil"/>
              <w:left w:val="nil"/>
              <w:bottom w:val="single" w:sz="4" w:space="0" w:color="auto"/>
              <w:right w:val="single" w:sz="4" w:space="0" w:color="auto"/>
            </w:tcBorders>
          </w:tcPr>
          <w:p w14:paraId="15D691E6" w14:textId="05864F76" w:rsidR="00DE6B11" w:rsidRPr="007F61EF" w:rsidRDefault="00DE6B11" w:rsidP="00DE6B11">
            <w:pPr>
              <w:spacing w:before="60" w:after="60"/>
              <w:jc w:val="right"/>
              <w:rPr>
                <w:rFonts w:cs="Arial"/>
                <w:b/>
                <w:bCs/>
                <w:szCs w:val="20"/>
              </w:rPr>
            </w:pPr>
            <w:r w:rsidRPr="007F61EF">
              <w:rPr>
                <w:rFonts w:cs="Arial"/>
                <w:b/>
                <w:bCs/>
                <w:szCs w:val="20"/>
              </w:rPr>
              <w:t>9</w:t>
            </w:r>
          </w:p>
        </w:tc>
      </w:tr>
      <w:tr w:rsidR="00DE6B11" w:rsidRPr="00224AA8" w14:paraId="67EDE4CA" w14:textId="77777777" w:rsidTr="00594D14">
        <w:trPr>
          <w:trHeight w:val="284"/>
        </w:trPr>
        <w:tc>
          <w:tcPr>
            <w:tcW w:w="2722" w:type="dxa"/>
            <w:tcBorders>
              <w:top w:val="nil"/>
              <w:left w:val="single" w:sz="4" w:space="0" w:color="auto"/>
              <w:bottom w:val="single" w:sz="4" w:space="0" w:color="auto"/>
              <w:right w:val="single" w:sz="4" w:space="0" w:color="auto"/>
            </w:tcBorders>
            <w:vAlign w:val="center"/>
            <w:hideMark/>
          </w:tcPr>
          <w:p w14:paraId="3A762CCD" w14:textId="77777777" w:rsidR="00DE6B11" w:rsidRPr="00224AA8" w:rsidRDefault="00DE6B11" w:rsidP="00DE6B11">
            <w:pPr>
              <w:spacing w:before="60" w:after="60"/>
            </w:pPr>
            <w:r w:rsidRPr="00224AA8">
              <w:t>Child Safety and Welfare</w:t>
            </w:r>
          </w:p>
        </w:tc>
        <w:tc>
          <w:tcPr>
            <w:tcW w:w="916" w:type="dxa"/>
            <w:tcBorders>
              <w:top w:val="nil"/>
              <w:left w:val="nil"/>
              <w:bottom w:val="single" w:sz="4" w:space="0" w:color="auto"/>
              <w:right w:val="single" w:sz="4" w:space="0" w:color="auto"/>
            </w:tcBorders>
          </w:tcPr>
          <w:p w14:paraId="62A189D0" w14:textId="77777777" w:rsidR="00DE6B11" w:rsidRPr="007F61EF" w:rsidRDefault="00DE6B11" w:rsidP="00DE6B11">
            <w:pPr>
              <w:spacing w:before="60" w:after="60"/>
              <w:jc w:val="right"/>
              <w:rPr>
                <w:rFonts w:cs="Arial"/>
                <w:bCs/>
                <w:szCs w:val="20"/>
              </w:rPr>
            </w:pPr>
          </w:p>
        </w:tc>
        <w:tc>
          <w:tcPr>
            <w:tcW w:w="917" w:type="dxa"/>
            <w:tcBorders>
              <w:top w:val="nil"/>
              <w:left w:val="nil"/>
              <w:bottom w:val="single" w:sz="4" w:space="0" w:color="auto"/>
              <w:right w:val="single" w:sz="4" w:space="0" w:color="auto"/>
            </w:tcBorders>
          </w:tcPr>
          <w:p w14:paraId="6A30EC7E" w14:textId="77777777" w:rsidR="00DE6B11" w:rsidRPr="007F61EF" w:rsidRDefault="00DE6B11" w:rsidP="00DE6B11">
            <w:pPr>
              <w:spacing w:before="60" w:after="60"/>
              <w:jc w:val="right"/>
              <w:rPr>
                <w:rFonts w:cs="Arial"/>
                <w:bCs/>
                <w:szCs w:val="20"/>
              </w:rPr>
            </w:pPr>
          </w:p>
        </w:tc>
        <w:tc>
          <w:tcPr>
            <w:tcW w:w="917" w:type="dxa"/>
            <w:tcBorders>
              <w:top w:val="nil"/>
              <w:left w:val="nil"/>
              <w:bottom w:val="single" w:sz="4" w:space="0" w:color="auto"/>
              <w:right w:val="single" w:sz="4" w:space="0" w:color="auto"/>
            </w:tcBorders>
          </w:tcPr>
          <w:p w14:paraId="71ED883E" w14:textId="77777777" w:rsidR="00DE6B11" w:rsidRPr="007F61EF" w:rsidRDefault="00DE6B11" w:rsidP="00DE6B11">
            <w:pPr>
              <w:spacing w:before="60" w:after="60"/>
              <w:jc w:val="right"/>
              <w:rPr>
                <w:rFonts w:cs="Arial"/>
                <w:bCs/>
                <w:szCs w:val="20"/>
              </w:rPr>
            </w:pPr>
          </w:p>
        </w:tc>
        <w:tc>
          <w:tcPr>
            <w:tcW w:w="916" w:type="dxa"/>
            <w:tcBorders>
              <w:top w:val="nil"/>
              <w:left w:val="nil"/>
              <w:bottom w:val="single" w:sz="4" w:space="0" w:color="auto"/>
              <w:right w:val="single" w:sz="4" w:space="0" w:color="auto"/>
            </w:tcBorders>
          </w:tcPr>
          <w:p w14:paraId="4090B6FF" w14:textId="77777777" w:rsidR="00DE6B11" w:rsidRPr="007F61EF" w:rsidRDefault="00DE6B11" w:rsidP="00DE6B11">
            <w:pPr>
              <w:spacing w:before="60" w:after="60"/>
              <w:jc w:val="right"/>
              <w:rPr>
                <w:rFonts w:cs="Arial"/>
                <w:bCs/>
                <w:szCs w:val="20"/>
              </w:rPr>
            </w:pPr>
          </w:p>
        </w:tc>
        <w:tc>
          <w:tcPr>
            <w:tcW w:w="917" w:type="dxa"/>
            <w:tcBorders>
              <w:top w:val="nil"/>
              <w:left w:val="nil"/>
              <w:bottom w:val="single" w:sz="4" w:space="0" w:color="auto"/>
              <w:right w:val="single" w:sz="4" w:space="0" w:color="auto"/>
            </w:tcBorders>
          </w:tcPr>
          <w:p w14:paraId="0AC933E0" w14:textId="77777777" w:rsidR="00DE6B11" w:rsidRPr="007F61EF" w:rsidRDefault="00DE6B11" w:rsidP="00DE6B11">
            <w:pPr>
              <w:spacing w:before="60" w:after="60"/>
              <w:jc w:val="right"/>
              <w:rPr>
                <w:rFonts w:cs="Arial"/>
                <w:bCs/>
                <w:szCs w:val="20"/>
              </w:rPr>
            </w:pPr>
          </w:p>
        </w:tc>
        <w:tc>
          <w:tcPr>
            <w:tcW w:w="917" w:type="dxa"/>
            <w:tcBorders>
              <w:top w:val="nil"/>
              <w:left w:val="nil"/>
              <w:bottom w:val="single" w:sz="4" w:space="0" w:color="auto"/>
              <w:right w:val="single" w:sz="4" w:space="0" w:color="auto"/>
            </w:tcBorders>
          </w:tcPr>
          <w:p w14:paraId="63D7C6AE" w14:textId="77777777" w:rsidR="00DE6B11" w:rsidRPr="007F61EF" w:rsidRDefault="00DE6B11" w:rsidP="00DE6B11">
            <w:pPr>
              <w:spacing w:before="60" w:after="60"/>
              <w:jc w:val="right"/>
              <w:rPr>
                <w:rFonts w:cs="Arial"/>
                <w:b/>
                <w:bCs/>
                <w:szCs w:val="20"/>
              </w:rPr>
            </w:pPr>
          </w:p>
        </w:tc>
      </w:tr>
      <w:tr w:rsidR="00DE6B11" w:rsidRPr="00224AA8" w14:paraId="15263152" w14:textId="77777777" w:rsidTr="00594D14">
        <w:trPr>
          <w:trHeight w:val="284"/>
        </w:trPr>
        <w:tc>
          <w:tcPr>
            <w:tcW w:w="2722" w:type="dxa"/>
            <w:tcBorders>
              <w:top w:val="nil"/>
              <w:left w:val="single" w:sz="4" w:space="0" w:color="auto"/>
              <w:bottom w:val="single" w:sz="4" w:space="0" w:color="auto"/>
              <w:right w:val="single" w:sz="4" w:space="0" w:color="auto"/>
            </w:tcBorders>
            <w:vAlign w:val="center"/>
          </w:tcPr>
          <w:p w14:paraId="2C6F0295" w14:textId="77777777" w:rsidR="00DE6B11" w:rsidRPr="00224AA8" w:rsidRDefault="00DE6B11" w:rsidP="00DE6B11">
            <w:pPr>
              <w:spacing w:before="60" w:after="60"/>
            </w:pPr>
            <w:r w:rsidRPr="00224AA8">
              <w:t xml:space="preserve">     Child Concern Reports</w:t>
            </w:r>
          </w:p>
        </w:tc>
        <w:tc>
          <w:tcPr>
            <w:tcW w:w="916" w:type="dxa"/>
            <w:tcBorders>
              <w:top w:val="nil"/>
              <w:left w:val="nil"/>
              <w:bottom w:val="single" w:sz="4" w:space="0" w:color="auto"/>
              <w:right w:val="single" w:sz="4" w:space="0" w:color="auto"/>
            </w:tcBorders>
          </w:tcPr>
          <w:p w14:paraId="39C2E8DE" w14:textId="67BB9F89" w:rsidR="00DE6B11" w:rsidRPr="007F61EF" w:rsidRDefault="00DE6B11" w:rsidP="00DE6B11">
            <w:pPr>
              <w:spacing w:before="60" w:after="60"/>
              <w:jc w:val="right"/>
              <w:rPr>
                <w:rFonts w:cs="Arial"/>
                <w:bCs/>
                <w:szCs w:val="20"/>
              </w:rPr>
            </w:pPr>
            <w:r w:rsidRPr="007F61EF">
              <w:rPr>
                <w:rFonts w:cs="Arial"/>
                <w:szCs w:val="20"/>
              </w:rPr>
              <w:t>67</w:t>
            </w:r>
          </w:p>
        </w:tc>
        <w:tc>
          <w:tcPr>
            <w:tcW w:w="917" w:type="dxa"/>
            <w:tcBorders>
              <w:top w:val="nil"/>
              <w:left w:val="nil"/>
              <w:bottom w:val="single" w:sz="4" w:space="0" w:color="auto"/>
              <w:right w:val="single" w:sz="4" w:space="0" w:color="auto"/>
            </w:tcBorders>
          </w:tcPr>
          <w:p w14:paraId="056C6538" w14:textId="04B8EB30" w:rsidR="00DE6B11" w:rsidRPr="007F61EF" w:rsidRDefault="00DE6B11" w:rsidP="00DE6B11">
            <w:pPr>
              <w:spacing w:before="60" w:after="60"/>
              <w:jc w:val="right"/>
              <w:rPr>
                <w:rFonts w:cs="Arial"/>
                <w:bCs/>
                <w:szCs w:val="20"/>
              </w:rPr>
            </w:pPr>
            <w:r w:rsidRPr="007F61EF">
              <w:rPr>
                <w:rFonts w:cs="Arial"/>
                <w:szCs w:val="20"/>
              </w:rPr>
              <w:t>18</w:t>
            </w:r>
          </w:p>
        </w:tc>
        <w:tc>
          <w:tcPr>
            <w:tcW w:w="917" w:type="dxa"/>
            <w:tcBorders>
              <w:top w:val="nil"/>
              <w:left w:val="nil"/>
              <w:bottom w:val="single" w:sz="4" w:space="0" w:color="auto"/>
              <w:right w:val="single" w:sz="4" w:space="0" w:color="auto"/>
            </w:tcBorders>
          </w:tcPr>
          <w:p w14:paraId="2A73BD48" w14:textId="77699D3A" w:rsidR="00DE6B11" w:rsidRPr="007F61EF" w:rsidRDefault="00DE6B11" w:rsidP="00DE6B11">
            <w:pPr>
              <w:spacing w:before="60" w:after="60"/>
              <w:jc w:val="right"/>
              <w:rPr>
                <w:rFonts w:cs="Arial"/>
                <w:bCs/>
                <w:szCs w:val="20"/>
              </w:rPr>
            </w:pPr>
            <w:r w:rsidRPr="007F61EF">
              <w:rPr>
                <w:rFonts w:cs="Arial"/>
                <w:szCs w:val="20"/>
              </w:rPr>
              <w:t>46</w:t>
            </w:r>
          </w:p>
        </w:tc>
        <w:tc>
          <w:tcPr>
            <w:tcW w:w="916" w:type="dxa"/>
            <w:tcBorders>
              <w:top w:val="nil"/>
              <w:left w:val="nil"/>
              <w:bottom w:val="single" w:sz="4" w:space="0" w:color="auto"/>
              <w:right w:val="single" w:sz="4" w:space="0" w:color="auto"/>
            </w:tcBorders>
          </w:tcPr>
          <w:p w14:paraId="353145E1" w14:textId="045F4BDC" w:rsidR="00DE6B11" w:rsidRPr="007F61EF" w:rsidRDefault="00DE6B11" w:rsidP="00DE6B11">
            <w:pPr>
              <w:spacing w:before="60" w:after="60"/>
              <w:jc w:val="right"/>
              <w:rPr>
                <w:rFonts w:cs="Arial"/>
                <w:bCs/>
                <w:szCs w:val="20"/>
              </w:rPr>
            </w:pPr>
            <w:r w:rsidRPr="007F61EF">
              <w:rPr>
                <w:rFonts w:cs="Arial"/>
                <w:szCs w:val="20"/>
              </w:rPr>
              <w:t>30</w:t>
            </w:r>
          </w:p>
        </w:tc>
        <w:tc>
          <w:tcPr>
            <w:tcW w:w="917" w:type="dxa"/>
            <w:tcBorders>
              <w:top w:val="nil"/>
              <w:left w:val="nil"/>
              <w:bottom w:val="single" w:sz="4" w:space="0" w:color="auto"/>
              <w:right w:val="single" w:sz="4" w:space="0" w:color="auto"/>
            </w:tcBorders>
          </w:tcPr>
          <w:p w14:paraId="3E529098" w14:textId="7E1595F1" w:rsidR="00DE6B11" w:rsidRPr="007F61EF" w:rsidRDefault="00DE6B11" w:rsidP="00DE6B11">
            <w:pPr>
              <w:spacing w:before="60" w:after="60"/>
              <w:jc w:val="right"/>
              <w:rPr>
                <w:rFonts w:cs="Arial"/>
                <w:bCs/>
                <w:szCs w:val="20"/>
              </w:rPr>
            </w:pPr>
            <w:r w:rsidRPr="007F61EF">
              <w:rPr>
                <w:rFonts w:cs="Arial"/>
                <w:szCs w:val="20"/>
              </w:rPr>
              <w:t>4</w:t>
            </w:r>
          </w:p>
        </w:tc>
        <w:tc>
          <w:tcPr>
            <w:tcW w:w="917" w:type="dxa"/>
            <w:tcBorders>
              <w:top w:val="nil"/>
              <w:left w:val="nil"/>
              <w:bottom w:val="single" w:sz="4" w:space="0" w:color="auto"/>
              <w:right w:val="single" w:sz="4" w:space="0" w:color="auto"/>
            </w:tcBorders>
          </w:tcPr>
          <w:p w14:paraId="0081F87B" w14:textId="5EE36833" w:rsidR="00DE6B11" w:rsidRPr="007F61EF" w:rsidRDefault="00DE6B11" w:rsidP="00DE6B11">
            <w:pPr>
              <w:spacing w:before="60" w:after="60"/>
              <w:jc w:val="right"/>
              <w:rPr>
                <w:rFonts w:cs="Arial"/>
                <w:b/>
                <w:bCs/>
                <w:szCs w:val="20"/>
              </w:rPr>
            </w:pPr>
            <w:r w:rsidRPr="007F61EF">
              <w:rPr>
                <w:rFonts w:cs="Arial"/>
                <w:b/>
                <w:bCs/>
                <w:szCs w:val="20"/>
              </w:rPr>
              <w:t>165</w:t>
            </w:r>
          </w:p>
        </w:tc>
      </w:tr>
      <w:tr w:rsidR="00DE6B11" w:rsidRPr="00224AA8" w14:paraId="30C00048" w14:textId="77777777" w:rsidTr="00594D14">
        <w:trPr>
          <w:trHeight w:val="284"/>
        </w:trPr>
        <w:tc>
          <w:tcPr>
            <w:tcW w:w="2722" w:type="dxa"/>
            <w:tcBorders>
              <w:top w:val="nil"/>
              <w:left w:val="single" w:sz="4" w:space="0" w:color="auto"/>
              <w:bottom w:val="single" w:sz="4" w:space="0" w:color="auto"/>
              <w:right w:val="single" w:sz="4" w:space="0" w:color="auto"/>
            </w:tcBorders>
            <w:vAlign w:val="center"/>
          </w:tcPr>
          <w:p w14:paraId="753ED7D3" w14:textId="77777777" w:rsidR="00DE6B11" w:rsidRPr="00224AA8" w:rsidRDefault="00DE6B11" w:rsidP="00DE6B11">
            <w:pPr>
              <w:spacing w:before="60" w:after="60"/>
            </w:pPr>
            <w:r w:rsidRPr="00224AA8">
              <w:t xml:space="preserve">     Finalised Child</w:t>
            </w:r>
            <w:r w:rsidRPr="00224AA8">
              <w:br/>
              <w:t xml:space="preserve">     Protection Investigations</w:t>
            </w:r>
          </w:p>
        </w:tc>
        <w:tc>
          <w:tcPr>
            <w:tcW w:w="916" w:type="dxa"/>
            <w:tcBorders>
              <w:top w:val="nil"/>
              <w:left w:val="nil"/>
              <w:bottom w:val="single" w:sz="4" w:space="0" w:color="auto"/>
              <w:right w:val="single" w:sz="4" w:space="0" w:color="auto"/>
            </w:tcBorders>
          </w:tcPr>
          <w:p w14:paraId="06EAB879" w14:textId="7DBCBA75" w:rsidR="00DE6B11" w:rsidRPr="007F61EF" w:rsidRDefault="00DE6B11" w:rsidP="00DE6B11">
            <w:pPr>
              <w:spacing w:before="60" w:after="60"/>
              <w:jc w:val="right"/>
              <w:rPr>
                <w:rFonts w:cs="Arial"/>
                <w:bCs/>
                <w:szCs w:val="20"/>
              </w:rPr>
            </w:pPr>
            <w:r w:rsidRPr="007F61EF">
              <w:rPr>
                <w:rFonts w:cs="Arial"/>
                <w:szCs w:val="20"/>
              </w:rPr>
              <w:t>15</w:t>
            </w:r>
          </w:p>
        </w:tc>
        <w:tc>
          <w:tcPr>
            <w:tcW w:w="917" w:type="dxa"/>
            <w:tcBorders>
              <w:top w:val="nil"/>
              <w:left w:val="nil"/>
              <w:bottom w:val="single" w:sz="4" w:space="0" w:color="auto"/>
              <w:right w:val="single" w:sz="4" w:space="0" w:color="auto"/>
            </w:tcBorders>
          </w:tcPr>
          <w:p w14:paraId="75B3AABB" w14:textId="501AD881" w:rsidR="00DE6B11" w:rsidRPr="007F61EF" w:rsidRDefault="00DE6B11" w:rsidP="00DE6B11">
            <w:pPr>
              <w:spacing w:before="60" w:after="60"/>
              <w:jc w:val="right"/>
              <w:rPr>
                <w:rFonts w:cs="Arial"/>
                <w:bCs/>
                <w:szCs w:val="20"/>
              </w:rPr>
            </w:pPr>
            <w:r w:rsidRPr="007F61EF">
              <w:rPr>
                <w:rFonts w:cs="Arial"/>
                <w:szCs w:val="20"/>
              </w:rPr>
              <w:t>0</w:t>
            </w:r>
          </w:p>
        </w:tc>
        <w:tc>
          <w:tcPr>
            <w:tcW w:w="917" w:type="dxa"/>
            <w:tcBorders>
              <w:top w:val="nil"/>
              <w:left w:val="nil"/>
              <w:bottom w:val="single" w:sz="4" w:space="0" w:color="auto"/>
              <w:right w:val="single" w:sz="4" w:space="0" w:color="auto"/>
            </w:tcBorders>
          </w:tcPr>
          <w:p w14:paraId="08A9D1A8" w14:textId="1E151816" w:rsidR="00DE6B11" w:rsidRPr="007F61EF" w:rsidRDefault="00DE6B11" w:rsidP="00DE6B11">
            <w:pPr>
              <w:spacing w:before="60" w:after="60"/>
              <w:jc w:val="right"/>
              <w:rPr>
                <w:rFonts w:cs="Arial"/>
                <w:bCs/>
                <w:szCs w:val="20"/>
              </w:rPr>
            </w:pPr>
            <w:r w:rsidRPr="007F61EF">
              <w:rPr>
                <w:rFonts w:cs="Arial"/>
                <w:szCs w:val="20"/>
              </w:rPr>
              <w:t>14</w:t>
            </w:r>
          </w:p>
        </w:tc>
        <w:tc>
          <w:tcPr>
            <w:tcW w:w="916" w:type="dxa"/>
            <w:tcBorders>
              <w:top w:val="nil"/>
              <w:left w:val="nil"/>
              <w:bottom w:val="single" w:sz="4" w:space="0" w:color="auto"/>
              <w:right w:val="single" w:sz="4" w:space="0" w:color="auto"/>
            </w:tcBorders>
          </w:tcPr>
          <w:p w14:paraId="75DCC81C" w14:textId="6C7D00D2" w:rsidR="00DE6B11" w:rsidRPr="007F61EF" w:rsidRDefault="00DE6B11" w:rsidP="00DE6B11">
            <w:pPr>
              <w:spacing w:before="60" w:after="60"/>
              <w:jc w:val="right"/>
              <w:rPr>
                <w:rFonts w:cs="Arial"/>
                <w:bCs/>
                <w:szCs w:val="20"/>
              </w:rPr>
            </w:pPr>
            <w:r w:rsidRPr="007F61EF">
              <w:rPr>
                <w:rFonts w:cs="Arial"/>
                <w:szCs w:val="20"/>
              </w:rPr>
              <w:t>13</w:t>
            </w:r>
          </w:p>
        </w:tc>
        <w:tc>
          <w:tcPr>
            <w:tcW w:w="917" w:type="dxa"/>
            <w:tcBorders>
              <w:top w:val="nil"/>
              <w:left w:val="nil"/>
              <w:bottom w:val="single" w:sz="4" w:space="0" w:color="auto"/>
              <w:right w:val="single" w:sz="4" w:space="0" w:color="auto"/>
            </w:tcBorders>
          </w:tcPr>
          <w:p w14:paraId="31F5CF36" w14:textId="06C71EF1" w:rsidR="00DE6B11" w:rsidRPr="007F61EF" w:rsidRDefault="00DE6B11" w:rsidP="00DE6B11">
            <w:pPr>
              <w:spacing w:before="60" w:after="60"/>
              <w:jc w:val="right"/>
              <w:rPr>
                <w:rFonts w:cs="Arial"/>
                <w:bCs/>
                <w:szCs w:val="20"/>
              </w:rPr>
            </w:pPr>
            <w:r w:rsidRPr="007F61EF">
              <w:rPr>
                <w:rFonts w:cs="Arial"/>
                <w:szCs w:val="20"/>
              </w:rPr>
              <w:t>0</w:t>
            </w:r>
          </w:p>
        </w:tc>
        <w:tc>
          <w:tcPr>
            <w:tcW w:w="917" w:type="dxa"/>
            <w:tcBorders>
              <w:top w:val="nil"/>
              <w:left w:val="nil"/>
              <w:bottom w:val="single" w:sz="4" w:space="0" w:color="auto"/>
              <w:right w:val="single" w:sz="4" w:space="0" w:color="auto"/>
            </w:tcBorders>
          </w:tcPr>
          <w:p w14:paraId="3E1B19F7" w14:textId="70497957" w:rsidR="00DE6B11" w:rsidRPr="007F61EF" w:rsidRDefault="00DE6B11" w:rsidP="00DE6B11">
            <w:pPr>
              <w:spacing w:before="60" w:after="60"/>
              <w:jc w:val="right"/>
              <w:rPr>
                <w:rFonts w:cs="Arial"/>
                <w:b/>
                <w:bCs/>
                <w:szCs w:val="20"/>
              </w:rPr>
            </w:pPr>
            <w:r w:rsidRPr="007F61EF">
              <w:rPr>
                <w:rFonts w:cs="Arial"/>
                <w:b/>
                <w:bCs/>
                <w:szCs w:val="20"/>
              </w:rPr>
              <w:t>42</w:t>
            </w:r>
          </w:p>
        </w:tc>
      </w:tr>
      <w:tr w:rsidR="00DE6B11" w:rsidRPr="00224AA8" w14:paraId="7F389E9D" w14:textId="77777777" w:rsidTr="00594D14">
        <w:trPr>
          <w:trHeight w:val="284"/>
        </w:trPr>
        <w:tc>
          <w:tcPr>
            <w:tcW w:w="2722" w:type="dxa"/>
            <w:tcBorders>
              <w:top w:val="nil"/>
              <w:left w:val="single" w:sz="4" w:space="0" w:color="auto"/>
              <w:bottom w:val="single" w:sz="4" w:space="0" w:color="auto"/>
              <w:right w:val="single" w:sz="4" w:space="0" w:color="auto"/>
            </w:tcBorders>
            <w:vAlign w:val="center"/>
            <w:hideMark/>
          </w:tcPr>
          <w:p w14:paraId="50D7A50B" w14:textId="77777777" w:rsidR="00DE6B11" w:rsidRPr="00224AA8" w:rsidRDefault="00DE6B11" w:rsidP="00DE6B11">
            <w:pPr>
              <w:spacing w:before="60" w:after="60"/>
            </w:pPr>
            <w:r w:rsidRPr="00224AA8">
              <w:t>Housing Tenancy</w:t>
            </w:r>
          </w:p>
        </w:tc>
        <w:tc>
          <w:tcPr>
            <w:tcW w:w="916" w:type="dxa"/>
            <w:tcBorders>
              <w:top w:val="nil"/>
              <w:left w:val="nil"/>
              <w:bottom w:val="single" w:sz="4" w:space="0" w:color="auto"/>
              <w:right w:val="single" w:sz="4" w:space="0" w:color="auto"/>
            </w:tcBorders>
          </w:tcPr>
          <w:p w14:paraId="7BE37D7F" w14:textId="0088F68A" w:rsidR="00DE6B11" w:rsidRPr="007F61EF" w:rsidRDefault="00DE6B11" w:rsidP="00DE6B11">
            <w:pPr>
              <w:spacing w:before="60" w:after="60"/>
              <w:jc w:val="right"/>
              <w:rPr>
                <w:rFonts w:cs="Arial"/>
                <w:szCs w:val="20"/>
              </w:rPr>
            </w:pPr>
            <w:r w:rsidRPr="007F61EF">
              <w:rPr>
                <w:rFonts w:cs="Arial"/>
                <w:szCs w:val="20"/>
              </w:rPr>
              <w:t>0</w:t>
            </w:r>
          </w:p>
        </w:tc>
        <w:tc>
          <w:tcPr>
            <w:tcW w:w="917" w:type="dxa"/>
            <w:tcBorders>
              <w:top w:val="nil"/>
              <w:left w:val="nil"/>
              <w:bottom w:val="single" w:sz="4" w:space="0" w:color="auto"/>
              <w:right w:val="single" w:sz="4" w:space="0" w:color="auto"/>
            </w:tcBorders>
          </w:tcPr>
          <w:p w14:paraId="61525D8E" w14:textId="7C3C4794" w:rsidR="00DE6B11" w:rsidRPr="007F61EF" w:rsidRDefault="00DE6B11" w:rsidP="00DE6B11">
            <w:pPr>
              <w:spacing w:before="60" w:after="60"/>
              <w:jc w:val="right"/>
              <w:rPr>
                <w:rFonts w:cs="Arial"/>
                <w:szCs w:val="20"/>
              </w:rPr>
            </w:pPr>
            <w:r w:rsidRPr="007F61EF">
              <w:rPr>
                <w:rFonts w:cs="Arial"/>
                <w:szCs w:val="20"/>
              </w:rPr>
              <w:t>0</w:t>
            </w:r>
          </w:p>
        </w:tc>
        <w:tc>
          <w:tcPr>
            <w:tcW w:w="917" w:type="dxa"/>
            <w:tcBorders>
              <w:top w:val="nil"/>
              <w:left w:val="nil"/>
              <w:bottom w:val="single" w:sz="4" w:space="0" w:color="auto"/>
              <w:right w:val="single" w:sz="4" w:space="0" w:color="auto"/>
            </w:tcBorders>
          </w:tcPr>
          <w:p w14:paraId="2FDC0A7F" w14:textId="3125E93E" w:rsidR="00DE6B11" w:rsidRPr="007F61EF" w:rsidRDefault="00DE6B11" w:rsidP="00DE6B11">
            <w:pPr>
              <w:spacing w:before="60" w:after="60"/>
              <w:jc w:val="right"/>
              <w:rPr>
                <w:rFonts w:cs="Arial"/>
                <w:szCs w:val="20"/>
              </w:rPr>
            </w:pPr>
            <w:r w:rsidRPr="007F61EF">
              <w:rPr>
                <w:rFonts w:cs="Arial"/>
                <w:szCs w:val="20"/>
              </w:rPr>
              <w:t>0</w:t>
            </w:r>
          </w:p>
        </w:tc>
        <w:tc>
          <w:tcPr>
            <w:tcW w:w="916" w:type="dxa"/>
            <w:tcBorders>
              <w:top w:val="nil"/>
              <w:left w:val="nil"/>
              <w:bottom w:val="single" w:sz="4" w:space="0" w:color="auto"/>
              <w:right w:val="single" w:sz="4" w:space="0" w:color="auto"/>
            </w:tcBorders>
          </w:tcPr>
          <w:p w14:paraId="278B71EB" w14:textId="274C5AB1" w:rsidR="00DE6B11" w:rsidRPr="007F61EF" w:rsidRDefault="00DE6B11" w:rsidP="00DE6B11">
            <w:pPr>
              <w:spacing w:before="60" w:after="60"/>
              <w:jc w:val="right"/>
              <w:rPr>
                <w:rFonts w:cs="Arial"/>
                <w:szCs w:val="20"/>
              </w:rPr>
            </w:pPr>
            <w:r w:rsidRPr="007F61EF">
              <w:rPr>
                <w:rFonts w:cs="Arial"/>
                <w:szCs w:val="20"/>
              </w:rPr>
              <w:t>8</w:t>
            </w:r>
          </w:p>
        </w:tc>
        <w:tc>
          <w:tcPr>
            <w:tcW w:w="917" w:type="dxa"/>
            <w:tcBorders>
              <w:top w:val="nil"/>
              <w:left w:val="nil"/>
              <w:bottom w:val="single" w:sz="4" w:space="0" w:color="auto"/>
              <w:right w:val="single" w:sz="4" w:space="0" w:color="auto"/>
            </w:tcBorders>
          </w:tcPr>
          <w:p w14:paraId="2B9E1EA9" w14:textId="2B7E54DF" w:rsidR="00DE6B11" w:rsidRPr="007F61EF" w:rsidRDefault="00DE6B11" w:rsidP="00DE6B11">
            <w:pPr>
              <w:spacing w:before="60" w:after="60"/>
              <w:jc w:val="right"/>
              <w:rPr>
                <w:rFonts w:cs="Arial"/>
                <w:szCs w:val="20"/>
              </w:rPr>
            </w:pPr>
            <w:r w:rsidRPr="007F61EF">
              <w:rPr>
                <w:rFonts w:cs="Arial"/>
                <w:szCs w:val="20"/>
              </w:rPr>
              <w:t>0</w:t>
            </w:r>
          </w:p>
        </w:tc>
        <w:tc>
          <w:tcPr>
            <w:tcW w:w="917" w:type="dxa"/>
            <w:tcBorders>
              <w:top w:val="nil"/>
              <w:left w:val="nil"/>
              <w:bottom w:val="single" w:sz="4" w:space="0" w:color="auto"/>
              <w:right w:val="single" w:sz="4" w:space="0" w:color="auto"/>
            </w:tcBorders>
          </w:tcPr>
          <w:p w14:paraId="6C0B0E83" w14:textId="6B237496" w:rsidR="00DE6B11" w:rsidRPr="007F61EF" w:rsidRDefault="00DE6B11" w:rsidP="00DE6B11">
            <w:pPr>
              <w:spacing w:before="60" w:after="60"/>
              <w:jc w:val="right"/>
              <w:rPr>
                <w:rFonts w:cs="Arial"/>
                <w:b/>
                <w:bCs/>
                <w:szCs w:val="20"/>
              </w:rPr>
            </w:pPr>
            <w:r w:rsidRPr="007F61EF">
              <w:rPr>
                <w:rFonts w:cs="Arial"/>
                <w:b/>
                <w:bCs/>
                <w:szCs w:val="20"/>
              </w:rPr>
              <w:t>8</w:t>
            </w:r>
          </w:p>
        </w:tc>
      </w:tr>
      <w:tr w:rsidR="00DE6B11" w:rsidRPr="00224AA8" w14:paraId="7C61F69E" w14:textId="77777777" w:rsidTr="00594D14">
        <w:trPr>
          <w:trHeight w:val="284"/>
        </w:trPr>
        <w:tc>
          <w:tcPr>
            <w:tcW w:w="2722" w:type="dxa"/>
            <w:tcBorders>
              <w:top w:val="nil"/>
              <w:left w:val="single" w:sz="4" w:space="0" w:color="auto"/>
              <w:bottom w:val="single" w:sz="4" w:space="0" w:color="auto"/>
              <w:right w:val="single" w:sz="4" w:space="0" w:color="auto"/>
            </w:tcBorders>
            <w:vAlign w:val="center"/>
            <w:hideMark/>
          </w:tcPr>
          <w:p w14:paraId="3A29E3F2" w14:textId="77777777" w:rsidR="00DE6B11" w:rsidRPr="00224AA8" w:rsidRDefault="00DE6B11" w:rsidP="00DE6B11">
            <w:pPr>
              <w:spacing w:before="60" w:after="60"/>
              <w:rPr>
                <w:b/>
                <w:bCs/>
              </w:rPr>
            </w:pPr>
            <w:r w:rsidRPr="00224AA8">
              <w:rPr>
                <w:b/>
                <w:bCs/>
              </w:rPr>
              <w:t>Total</w:t>
            </w:r>
          </w:p>
        </w:tc>
        <w:tc>
          <w:tcPr>
            <w:tcW w:w="916" w:type="dxa"/>
            <w:tcBorders>
              <w:top w:val="nil"/>
              <w:left w:val="nil"/>
              <w:bottom w:val="single" w:sz="4" w:space="0" w:color="auto"/>
              <w:right w:val="single" w:sz="4" w:space="0" w:color="auto"/>
            </w:tcBorders>
          </w:tcPr>
          <w:p w14:paraId="741A9EF1" w14:textId="1311C45C" w:rsidR="00DE6B11" w:rsidRPr="007F61EF" w:rsidRDefault="00DE6B11" w:rsidP="00DE6B11">
            <w:pPr>
              <w:spacing w:before="60" w:after="60"/>
              <w:jc w:val="right"/>
              <w:rPr>
                <w:rFonts w:cs="Arial"/>
                <w:b/>
                <w:bCs/>
                <w:szCs w:val="20"/>
              </w:rPr>
            </w:pPr>
            <w:r w:rsidRPr="007F61EF">
              <w:rPr>
                <w:rFonts w:cs="Arial"/>
                <w:b/>
                <w:bCs/>
                <w:szCs w:val="20"/>
              </w:rPr>
              <w:t>1,89</w:t>
            </w:r>
            <w:r w:rsidR="008C243E">
              <w:rPr>
                <w:rFonts w:cs="Arial"/>
                <w:b/>
                <w:bCs/>
                <w:szCs w:val="20"/>
              </w:rPr>
              <w:t>7</w:t>
            </w:r>
          </w:p>
        </w:tc>
        <w:tc>
          <w:tcPr>
            <w:tcW w:w="917" w:type="dxa"/>
            <w:tcBorders>
              <w:top w:val="nil"/>
              <w:left w:val="nil"/>
              <w:bottom w:val="single" w:sz="4" w:space="0" w:color="auto"/>
              <w:right w:val="single" w:sz="4" w:space="0" w:color="auto"/>
            </w:tcBorders>
          </w:tcPr>
          <w:p w14:paraId="3C507033" w14:textId="541D8E59" w:rsidR="00DE6B11" w:rsidRPr="007F61EF" w:rsidRDefault="00DE6B11" w:rsidP="00DE6B11">
            <w:pPr>
              <w:spacing w:before="60" w:after="60"/>
              <w:jc w:val="right"/>
              <w:rPr>
                <w:rFonts w:cs="Arial"/>
                <w:b/>
                <w:bCs/>
                <w:szCs w:val="20"/>
              </w:rPr>
            </w:pPr>
            <w:r w:rsidRPr="007F61EF">
              <w:rPr>
                <w:rFonts w:cs="Arial"/>
                <w:b/>
                <w:bCs/>
                <w:szCs w:val="20"/>
              </w:rPr>
              <w:t>214</w:t>
            </w:r>
          </w:p>
        </w:tc>
        <w:tc>
          <w:tcPr>
            <w:tcW w:w="917" w:type="dxa"/>
            <w:tcBorders>
              <w:top w:val="nil"/>
              <w:left w:val="nil"/>
              <w:bottom w:val="single" w:sz="4" w:space="0" w:color="auto"/>
              <w:right w:val="single" w:sz="4" w:space="0" w:color="auto"/>
            </w:tcBorders>
          </w:tcPr>
          <w:p w14:paraId="74ED16B0" w14:textId="26B88C89" w:rsidR="00DE6B11" w:rsidRPr="007F61EF" w:rsidRDefault="00DE6B11" w:rsidP="00DE6B11">
            <w:pPr>
              <w:spacing w:before="60" w:after="60"/>
              <w:jc w:val="right"/>
              <w:rPr>
                <w:rFonts w:cs="Arial"/>
                <w:b/>
                <w:bCs/>
                <w:szCs w:val="20"/>
              </w:rPr>
            </w:pPr>
            <w:r w:rsidRPr="007F61EF">
              <w:rPr>
                <w:rFonts w:cs="Arial"/>
                <w:b/>
                <w:bCs/>
                <w:szCs w:val="20"/>
              </w:rPr>
              <w:t>1,383</w:t>
            </w:r>
          </w:p>
        </w:tc>
        <w:tc>
          <w:tcPr>
            <w:tcW w:w="916" w:type="dxa"/>
            <w:tcBorders>
              <w:top w:val="nil"/>
              <w:left w:val="nil"/>
              <w:bottom w:val="single" w:sz="4" w:space="0" w:color="auto"/>
              <w:right w:val="single" w:sz="4" w:space="0" w:color="auto"/>
            </w:tcBorders>
          </w:tcPr>
          <w:p w14:paraId="468C46B0" w14:textId="037C6BE7" w:rsidR="00DE6B11" w:rsidRPr="007F61EF" w:rsidRDefault="00DE6B11" w:rsidP="00DE6B11">
            <w:pPr>
              <w:spacing w:before="60" w:after="60"/>
              <w:jc w:val="right"/>
              <w:rPr>
                <w:rFonts w:cs="Arial"/>
                <w:b/>
                <w:bCs/>
                <w:szCs w:val="20"/>
              </w:rPr>
            </w:pPr>
            <w:r w:rsidRPr="007F61EF">
              <w:rPr>
                <w:rFonts w:cs="Arial"/>
                <w:b/>
                <w:bCs/>
                <w:szCs w:val="20"/>
              </w:rPr>
              <w:t>913</w:t>
            </w:r>
          </w:p>
        </w:tc>
        <w:tc>
          <w:tcPr>
            <w:tcW w:w="917" w:type="dxa"/>
            <w:tcBorders>
              <w:top w:val="nil"/>
              <w:left w:val="nil"/>
              <w:bottom w:val="single" w:sz="4" w:space="0" w:color="auto"/>
              <w:right w:val="single" w:sz="4" w:space="0" w:color="auto"/>
            </w:tcBorders>
          </w:tcPr>
          <w:p w14:paraId="0E80A562" w14:textId="6C8035B1" w:rsidR="00DE6B11" w:rsidRPr="007F61EF" w:rsidRDefault="00DE6B11" w:rsidP="00DE6B11">
            <w:pPr>
              <w:spacing w:before="60" w:after="60"/>
              <w:jc w:val="right"/>
              <w:rPr>
                <w:rFonts w:cs="Arial"/>
                <w:b/>
                <w:bCs/>
                <w:szCs w:val="20"/>
              </w:rPr>
            </w:pPr>
            <w:r w:rsidRPr="007F61EF">
              <w:rPr>
                <w:rFonts w:cs="Arial"/>
                <w:b/>
                <w:bCs/>
                <w:szCs w:val="20"/>
              </w:rPr>
              <w:t>188</w:t>
            </w:r>
          </w:p>
        </w:tc>
        <w:tc>
          <w:tcPr>
            <w:tcW w:w="917" w:type="dxa"/>
            <w:tcBorders>
              <w:top w:val="nil"/>
              <w:left w:val="nil"/>
              <w:bottom w:val="single" w:sz="4" w:space="0" w:color="auto"/>
              <w:right w:val="single" w:sz="4" w:space="0" w:color="auto"/>
            </w:tcBorders>
          </w:tcPr>
          <w:p w14:paraId="7855531A" w14:textId="6C33DE5C" w:rsidR="00DE6B11" w:rsidRPr="007F61EF" w:rsidRDefault="00DE6B11" w:rsidP="00DE6B11">
            <w:pPr>
              <w:spacing w:before="60" w:after="60"/>
              <w:jc w:val="right"/>
              <w:rPr>
                <w:rFonts w:cs="Arial"/>
                <w:b/>
                <w:bCs/>
                <w:szCs w:val="20"/>
              </w:rPr>
            </w:pPr>
            <w:r w:rsidRPr="007F61EF">
              <w:rPr>
                <w:rFonts w:cs="Arial"/>
                <w:b/>
                <w:bCs/>
                <w:szCs w:val="20"/>
              </w:rPr>
              <w:t>4,59</w:t>
            </w:r>
            <w:r w:rsidR="008C243E">
              <w:rPr>
                <w:rFonts w:cs="Arial"/>
                <w:b/>
                <w:bCs/>
                <w:szCs w:val="20"/>
              </w:rPr>
              <w:t>5</w:t>
            </w:r>
          </w:p>
        </w:tc>
      </w:tr>
      <w:bookmarkEnd w:id="0"/>
      <w:bookmarkEnd w:id="2"/>
    </w:tbl>
    <w:p w14:paraId="553EF413" w14:textId="77777777" w:rsidR="006B6F53" w:rsidRDefault="006B6F53" w:rsidP="006B6F53">
      <w:pPr>
        <w:rPr>
          <w:lang w:val="en-US"/>
        </w:rPr>
      </w:pPr>
    </w:p>
    <w:p w14:paraId="098B355C" w14:textId="77777777" w:rsidR="00BE31B9" w:rsidRPr="00224AA8" w:rsidRDefault="00BE31B9" w:rsidP="00BE31B9">
      <w:pPr>
        <w:spacing w:after="60"/>
        <w:rPr>
          <w:lang w:val="en-US"/>
        </w:rPr>
      </w:pPr>
      <w:r w:rsidRPr="00224AA8">
        <w:rPr>
          <w:lang w:val="en-US"/>
        </w:rPr>
        <w:t>Further details of notices within jurisdiction for each community are set out below:</w:t>
      </w:r>
    </w:p>
    <w:p w14:paraId="3C8ABEDF" w14:textId="3D28FB24" w:rsidR="00BE31B9" w:rsidRPr="00224AA8" w:rsidRDefault="00BE31B9" w:rsidP="00BE31B9">
      <w:pPr>
        <w:pStyle w:val="ListParagraph"/>
        <w:numPr>
          <w:ilvl w:val="0"/>
          <w:numId w:val="18"/>
        </w:numPr>
        <w:spacing w:after="60" w:line="260" w:lineRule="exact"/>
        <w:ind w:left="572" w:hanging="357"/>
      </w:pPr>
      <w:r w:rsidRPr="00224AA8">
        <w:t xml:space="preserve">Aurukun (AU) received </w:t>
      </w:r>
      <w:r>
        <w:rPr>
          <w:bCs/>
        </w:rPr>
        <w:t>1,89</w:t>
      </w:r>
      <w:r w:rsidR="008C243E">
        <w:rPr>
          <w:bCs/>
        </w:rPr>
        <w:t>7</w:t>
      </w:r>
      <w:r w:rsidRPr="00224AA8">
        <w:t xml:space="preserve"> notices relating to 4</w:t>
      </w:r>
      <w:r>
        <w:t>71</w:t>
      </w:r>
      <w:r w:rsidRPr="00224AA8">
        <w:t xml:space="preserve"> clients (2</w:t>
      </w:r>
      <w:r>
        <w:t>49</w:t>
      </w:r>
      <w:r w:rsidRPr="00224AA8">
        <w:t xml:space="preserve"> female and 22</w:t>
      </w:r>
      <w:r>
        <w:t>2</w:t>
      </w:r>
      <w:r w:rsidRPr="00224AA8">
        <w:t xml:space="preserve"> male)</w:t>
      </w:r>
    </w:p>
    <w:p w14:paraId="31C9508C" w14:textId="77777777" w:rsidR="00BE31B9" w:rsidRPr="00224AA8" w:rsidRDefault="00BE31B9" w:rsidP="00BE31B9">
      <w:pPr>
        <w:pStyle w:val="ListParagraph"/>
        <w:numPr>
          <w:ilvl w:val="0"/>
          <w:numId w:val="18"/>
        </w:numPr>
        <w:spacing w:after="60" w:line="260" w:lineRule="exact"/>
        <w:ind w:left="572" w:hanging="357"/>
      </w:pPr>
      <w:r w:rsidRPr="00224AA8">
        <w:t xml:space="preserve">Coen (CO) received </w:t>
      </w:r>
      <w:r>
        <w:rPr>
          <w:bCs/>
        </w:rPr>
        <w:t>214</w:t>
      </w:r>
      <w:r w:rsidRPr="00224AA8">
        <w:t xml:space="preserve"> notices relating to </w:t>
      </w:r>
      <w:r>
        <w:t>74</w:t>
      </w:r>
      <w:r w:rsidRPr="00224AA8">
        <w:t xml:space="preserve"> clients (</w:t>
      </w:r>
      <w:r>
        <w:t>36</w:t>
      </w:r>
      <w:r w:rsidRPr="00224AA8">
        <w:t xml:space="preserve"> female and </w:t>
      </w:r>
      <w:r>
        <w:t>38</w:t>
      </w:r>
      <w:r w:rsidRPr="00224AA8">
        <w:t xml:space="preserve"> male)</w:t>
      </w:r>
    </w:p>
    <w:p w14:paraId="1323D50B" w14:textId="77777777" w:rsidR="00BE31B9" w:rsidRPr="00224AA8" w:rsidRDefault="00BE31B9" w:rsidP="00BE31B9">
      <w:pPr>
        <w:pStyle w:val="ListParagraph"/>
        <w:numPr>
          <w:ilvl w:val="0"/>
          <w:numId w:val="18"/>
        </w:numPr>
        <w:spacing w:after="60" w:line="260" w:lineRule="exact"/>
        <w:ind w:left="572" w:hanging="357"/>
      </w:pPr>
      <w:r w:rsidRPr="00224AA8">
        <w:t xml:space="preserve">Doomadgee (DM) received </w:t>
      </w:r>
      <w:r w:rsidRPr="00224AA8">
        <w:rPr>
          <w:bCs/>
        </w:rPr>
        <w:t>1,</w:t>
      </w:r>
      <w:r>
        <w:rPr>
          <w:bCs/>
        </w:rPr>
        <w:t>383</w:t>
      </w:r>
      <w:r w:rsidRPr="00224AA8">
        <w:t xml:space="preserve"> notices relating to </w:t>
      </w:r>
      <w:r>
        <w:t>278</w:t>
      </w:r>
      <w:r w:rsidRPr="00224AA8">
        <w:t xml:space="preserve"> clients (</w:t>
      </w:r>
      <w:r>
        <w:t>194</w:t>
      </w:r>
      <w:r w:rsidRPr="00224AA8">
        <w:t xml:space="preserve"> female and </w:t>
      </w:r>
      <w:r>
        <w:t>8</w:t>
      </w:r>
      <w:r w:rsidRPr="00224AA8">
        <w:t>4 male)</w:t>
      </w:r>
    </w:p>
    <w:p w14:paraId="60B0B3BA" w14:textId="77777777" w:rsidR="00BE31B9" w:rsidRPr="00224AA8" w:rsidRDefault="00BE31B9" w:rsidP="00BE31B9">
      <w:pPr>
        <w:pStyle w:val="ListParagraph"/>
        <w:numPr>
          <w:ilvl w:val="0"/>
          <w:numId w:val="18"/>
        </w:numPr>
        <w:spacing w:after="60" w:line="260" w:lineRule="exact"/>
        <w:ind w:left="572" w:hanging="357"/>
      </w:pPr>
      <w:r w:rsidRPr="00224AA8">
        <w:t xml:space="preserve">Hope Vale (HV) received </w:t>
      </w:r>
      <w:r w:rsidRPr="00224AA8">
        <w:rPr>
          <w:bCs/>
        </w:rPr>
        <w:t>9</w:t>
      </w:r>
      <w:r>
        <w:rPr>
          <w:bCs/>
        </w:rPr>
        <w:t>13</w:t>
      </w:r>
      <w:r w:rsidRPr="00224AA8">
        <w:t xml:space="preserve"> notices relating to 2</w:t>
      </w:r>
      <w:r>
        <w:t>68</w:t>
      </w:r>
      <w:r w:rsidRPr="00224AA8">
        <w:t xml:space="preserve"> clients (1</w:t>
      </w:r>
      <w:r>
        <w:t>37</w:t>
      </w:r>
      <w:r w:rsidRPr="00224AA8">
        <w:t xml:space="preserve"> female and 13</w:t>
      </w:r>
      <w:r>
        <w:t>1</w:t>
      </w:r>
      <w:r w:rsidRPr="00224AA8">
        <w:t xml:space="preserve"> male)</w:t>
      </w:r>
    </w:p>
    <w:p w14:paraId="75EBD144" w14:textId="77777777" w:rsidR="00BE31B9" w:rsidRPr="00BA3E9E" w:rsidRDefault="00BE31B9" w:rsidP="00BE31B9">
      <w:pPr>
        <w:pStyle w:val="ListParagraph"/>
        <w:numPr>
          <w:ilvl w:val="0"/>
          <w:numId w:val="18"/>
        </w:numPr>
        <w:spacing w:after="60" w:line="260" w:lineRule="exact"/>
        <w:rPr>
          <w:b/>
        </w:rPr>
      </w:pPr>
      <w:r w:rsidRPr="00224AA8">
        <w:t xml:space="preserve">Mossman Gorge (MG) received </w:t>
      </w:r>
      <w:r w:rsidRPr="00224AA8">
        <w:rPr>
          <w:bCs/>
        </w:rPr>
        <w:t>1</w:t>
      </w:r>
      <w:r>
        <w:rPr>
          <w:bCs/>
        </w:rPr>
        <w:t>88</w:t>
      </w:r>
      <w:r w:rsidRPr="00224AA8">
        <w:t xml:space="preserve"> notices relating to 5</w:t>
      </w:r>
      <w:r>
        <w:t>4</w:t>
      </w:r>
      <w:r w:rsidRPr="00224AA8">
        <w:t xml:space="preserve"> clients (2</w:t>
      </w:r>
      <w:r>
        <w:t>7</w:t>
      </w:r>
      <w:r w:rsidRPr="00224AA8">
        <w:t xml:space="preserve"> female and 2</w:t>
      </w:r>
      <w:r>
        <w:t>7</w:t>
      </w:r>
      <w:r w:rsidRPr="00224AA8">
        <w:t xml:space="preserve"> male).</w:t>
      </w:r>
    </w:p>
    <w:p w14:paraId="0A182120" w14:textId="77777777" w:rsidR="006B6F53" w:rsidRPr="00BA3E9E" w:rsidRDefault="006B6F53" w:rsidP="006B6F53">
      <w:pPr>
        <w:spacing w:after="60"/>
        <w:rPr>
          <w:bCs/>
        </w:rPr>
      </w:pPr>
    </w:p>
    <w:p w14:paraId="5ABB7116" w14:textId="77777777" w:rsidR="006B6F53" w:rsidRPr="00BA3E9E" w:rsidRDefault="006B6F53" w:rsidP="006B6F53">
      <w:pPr>
        <w:spacing w:after="60"/>
        <w:rPr>
          <w:bCs/>
        </w:rPr>
      </w:pPr>
      <w:r w:rsidRPr="00BA3E9E">
        <w:rPr>
          <w:bCs/>
        </w:rPr>
        <w:br w:type="page"/>
      </w:r>
    </w:p>
    <w:p w14:paraId="63EE3620" w14:textId="77777777" w:rsidR="006B6F53" w:rsidRPr="00224AA8" w:rsidRDefault="006B6F53" w:rsidP="006B6F53">
      <w:pPr>
        <w:rPr>
          <w:rFonts w:cs="Arial"/>
          <w:lang w:val="en-US"/>
        </w:rPr>
      </w:pPr>
      <w:r w:rsidRPr="00224AA8">
        <w:rPr>
          <w:rFonts w:cs="Arial"/>
          <w:b/>
          <w:bCs/>
          <w:sz w:val="17"/>
          <w:szCs w:val="17"/>
        </w:rPr>
        <w:lastRenderedPageBreak/>
        <w:t xml:space="preserve">Table </w:t>
      </w:r>
      <w:r>
        <w:rPr>
          <w:rFonts w:cs="Arial"/>
          <w:b/>
          <w:bCs/>
          <w:sz w:val="17"/>
          <w:szCs w:val="17"/>
        </w:rPr>
        <w:t>3</w:t>
      </w:r>
      <w:r w:rsidRPr="00224AA8">
        <w:rPr>
          <w:rFonts w:cs="Arial"/>
          <w:b/>
          <w:bCs/>
          <w:sz w:val="17"/>
          <w:szCs w:val="17"/>
        </w:rPr>
        <w:t>: In jurisdiction notices by type and quarter 1 July 202</w:t>
      </w:r>
      <w:r>
        <w:rPr>
          <w:rFonts w:cs="Arial"/>
          <w:b/>
          <w:bCs/>
          <w:sz w:val="17"/>
          <w:szCs w:val="17"/>
        </w:rPr>
        <w:t>4</w:t>
      </w:r>
      <w:r w:rsidRPr="00224AA8">
        <w:rPr>
          <w:rFonts w:cs="Arial"/>
          <w:b/>
          <w:bCs/>
          <w:sz w:val="17"/>
          <w:szCs w:val="17"/>
        </w:rPr>
        <w:t xml:space="preserve"> to 30 June 202</w:t>
      </w:r>
      <w:r>
        <w:rPr>
          <w:rFonts w:cs="Arial"/>
          <w:b/>
          <w:bCs/>
          <w:sz w:val="17"/>
          <w:szCs w:val="17"/>
        </w:rPr>
        <w:t>5</w:t>
      </w:r>
    </w:p>
    <w:tbl>
      <w:tblPr>
        <w:tblW w:w="7654" w:type="dxa"/>
        <w:tblInd w:w="108" w:type="dxa"/>
        <w:tblLook w:val="04A0" w:firstRow="1" w:lastRow="0" w:firstColumn="1" w:lastColumn="0" w:noHBand="0" w:noVBand="1"/>
      </w:tblPr>
      <w:tblGrid>
        <w:gridCol w:w="2694"/>
        <w:gridCol w:w="992"/>
        <w:gridCol w:w="992"/>
        <w:gridCol w:w="992"/>
        <w:gridCol w:w="992"/>
        <w:gridCol w:w="992"/>
      </w:tblGrid>
      <w:tr w:rsidR="006B6F53" w:rsidRPr="00224AA8" w14:paraId="7C618C3C" w14:textId="77777777" w:rsidTr="00594D14">
        <w:trPr>
          <w:trHeight w:val="480"/>
        </w:trPr>
        <w:tc>
          <w:tcPr>
            <w:tcW w:w="2694"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449F615C" w14:textId="77777777" w:rsidR="006B6F53" w:rsidRPr="00224AA8" w:rsidRDefault="006B6F53" w:rsidP="00594D14">
            <w:pPr>
              <w:spacing w:before="60" w:after="60"/>
              <w:rPr>
                <w:b/>
                <w:bCs/>
                <w:color w:val="FFFFFF" w:themeColor="background1"/>
              </w:rPr>
            </w:pPr>
            <w:r w:rsidRPr="00224AA8">
              <w:rPr>
                <w:b/>
                <w:bCs/>
                <w:color w:val="FFFFFF" w:themeColor="background1"/>
              </w:rPr>
              <w:t>Type of notice</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3166EA4D"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5</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54376AAE"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6</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6D0485D3"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7</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618EF014"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8</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tcPr>
          <w:p w14:paraId="439D15FE"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Total</w:t>
            </w:r>
          </w:p>
        </w:tc>
      </w:tr>
      <w:tr w:rsidR="00BC0F82" w:rsidRPr="00224AA8" w14:paraId="09AFEE8B" w14:textId="77777777" w:rsidTr="00594D14">
        <w:trPr>
          <w:trHeight w:val="245"/>
        </w:trPr>
        <w:tc>
          <w:tcPr>
            <w:tcW w:w="2694" w:type="dxa"/>
            <w:tcBorders>
              <w:top w:val="single" w:sz="4" w:space="0" w:color="auto"/>
              <w:left w:val="single" w:sz="4" w:space="0" w:color="auto"/>
              <w:bottom w:val="single" w:sz="4" w:space="0" w:color="auto"/>
              <w:right w:val="single" w:sz="4" w:space="0" w:color="auto"/>
            </w:tcBorders>
          </w:tcPr>
          <w:p w14:paraId="454DC744" w14:textId="77777777" w:rsidR="00BC0F82" w:rsidRPr="00224AA8" w:rsidRDefault="00BC0F82" w:rsidP="00BC0F82">
            <w:pPr>
              <w:spacing w:before="60" w:after="60"/>
            </w:pPr>
            <w:r w:rsidRPr="00224AA8">
              <w:t>Supreme Court</w:t>
            </w:r>
          </w:p>
        </w:tc>
        <w:tc>
          <w:tcPr>
            <w:tcW w:w="992" w:type="dxa"/>
            <w:tcBorders>
              <w:top w:val="single" w:sz="4" w:space="0" w:color="auto"/>
              <w:left w:val="nil"/>
              <w:bottom w:val="single" w:sz="4" w:space="0" w:color="auto"/>
              <w:right w:val="single" w:sz="4" w:space="0" w:color="auto"/>
            </w:tcBorders>
          </w:tcPr>
          <w:p w14:paraId="53E26414" w14:textId="22859CDE" w:rsidR="00BC0F82" w:rsidRPr="007F61EF" w:rsidRDefault="00BC0F82" w:rsidP="00BC0F82">
            <w:pPr>
              <w:spacing w:before="60" w:after="60"/>
              <w:jc w:val="right"/>
              <w:rPr>
                <w:rFonts w:cs="Arial"/>
                <w:szCs w:val="20"/>
              </w:rPr>
            </w:pPr>
            <w:r w:rsidRPr="007F61EF">
              <w:rPr>
                <w:rFonts w:cs="Arial"/>
                <w:szCs w:val="20"/>
              </w:rPr>
              <w:t>0</w:t>
            </w:r>
          </w:p>
        </w:tc>
        <w:tc>
          <w:tcPr>
            <w:tcW w:w="992" w:type="dxa"/>
            <w:tcBorders>
              <w:top w:val="single" w:sz="4" w:space="0" w:color="auto"/>
              <w:left w:val="nil"/>
              <w:bottom w:val="single" w:sz="4" w:space="0" w:color="auto"/>
              <w:right w:val="single" w:sz="4" w:space="0" w:color="auto"/>
            </w:tcBorders>
          </w:tcPr>
          <w:p w14:paraId="2F262E14" w14:textId="741D8976" w:rsidR="00BC0F82" w:rsidRPr="007F61EF" w:rsidRDefault="00BC0F82" w:rsidP="00BC0F82">
            <w:pPr>
              <w:spacing w:before="60" w:after="60"/>
              <w:jc w:val="right"/>
              <w:rPr>
                <w:rFonts w:cs="Arial"/>
                <w:szCs w:val="20"/>
              </w:rPr>
            </w:pPr>
            <w:r w:rsidRPr="007F61EF">
              <w:rPr>
                <w:rFonts w:cs="Arial"/>
                <w:szCs w:val="20"/>
              </w:rPr>
              <w:t>0</w:t>
            </w:r>
          </w:p>
        </w:tc>
        <w:tc>
          <w:tcPr>
            <w:tcW w:w="992" w:type="dxa"/>
            <w:tcBorders>
              <w:top w:val="single" w:sz="4" w:space="0" w:color="auto"/>
              <w:left w:val="nil"/>
              <w:bottom w:val="single" w:sz="4" w:space="0" w:color="auto"/>
              <w:right w:val="single" w:sz="4" w:space="0" w:color="auto"/>
            </w:tcBorders>
          </w:tcPr>
          <w:p w14:paraId="66C294CC" w14:textId="32FAAE7F" w:rsidR="00BC0F82" w:rsidRPr="007F61EF" w:rsidRDefault="00BC0F82" w:rsidP="00BC0F82">
            <w:pPr>
              <w:spacing w:before="60" w:after="60"/>
              <w:jc w:val="right"/>
              <w:rPr>
                <w:rFonts w:cs="Arial"/>
                <w:szCs w:val="20"/>
              </w:rPr>
            </w:pPr>
            <w:r w:rsidRPr="007F61EF">
              <w:rPr>
                <w:rFonts w:cs="Arial"/>
                <w:szCs w:val="20"/>
              </w:rPr>
              <w:t>0</w:t>
            </w:r>
          </w:p>
        </w:tc>
        <w:tc>
          <w:tcPr>
            <w:tcW w:w="992" w:type="dxa"/>
            <w:tcBorders>
              <w:top w:val="single" w:sz="4" w:space="0" w:color="auto"/>
              <w:left w:val="nil"/>
              <w:bottom w:val="single" w:sz="4" w:space="0" w:color="auto"/>
              <w:right w:val="single" w:sz="4" w:space="0" w:color="auto"/>
            </w:tcBorders>
          </w:tcPr>
          <w:p w14:paraId="51D346A7" w14:textId="1895F01D" w:rsidR="00BC0F82" w:rsidRPr="007F61EF" w:rsidRDefault="00BC0F82" w:rsidP="00BC0F82">
            <w:pPr>
              <w:spacing w:before="60" w:after="60"/>
              <w:jc w:val="right"/>
              <w:rPr>
                <w:rFonts w:cs="Arial"/>
                <w:szCs w:val="20"/>
              </w:rPr>
            </w:pPr>
            <w:r w:rsidRPr="007F61EF">
              <w:rPr>
                <w:rFonts w:cs="Arial"/>
                <w:szCs w:val="20"/>
              </w:rPr>
              <w:t>0</w:t>
            </w:r>
          </w:p>
        </w:tc>
        <w:tc>
          <w:tcPr>
            <w:tcW w:w="992" w:type="dxa"/>
            <w:tcBorders>
              <w:top w:val="single" w:sz="4" w:space="0" w:color="auto"/>
              <w:left w:val="nil"/>
              <w:bottom w:val="single" w:sz="4" w:space="0" w:color="auto"/>
              <w:right w:val="single" w:sz="4" w:space="0" w:color="auto"/>
            </w:tcBorders>
          </w:tcPr>
          <w:p w14:paraId="314A47C4" w14:textId="0837ED88" w:rsidR="00BC0F82" w:rsidRPr="007F61EF" w:rsidRDefault="00BC0F82" w:rsidP="00BC0F82">
            <w:pPr>
              <w:spacing w:before="60" w:after="60"/>
              <w:jc w:val="right"/>
              <w:rPr>
                <w:rFonts w:cs="Arial"/>
                <w:b/>
                <w:bCs/>
                <w:szCs w:val="20"/>
              </w:rPr>
            </w:pPr>
            <w:r w:rsidRPr="007F61EF">
              <w:rPr>
                <w:rFonts w:cs="Arial"/>
                <w:b/>
                <w:bCs/>
                <w:szCs w:val="20"/>
              </w:rPr>
              <w:t>0</w:t>
            </w:r>
          </w:p>
        </w:tc>
      </w:tr>
      <w:tr w:rsidR="00BC0F82" w:rsidRPr="00224AA8" w14:paraId="1BD95AA8" w14:textId="77777777" w:rsidTr="00594D14">
        <w:trPr>
          <w:trHeight w:val="255"/>
        </w:trPr>
        <w:tc>
          <w:tcPr>
            <w:tcW w:w="2694" w:type="dxa"/>
            <w:tcBorders>
              <w:top w:val="nil"/>
              <w:left w:val="single" w:sz="4" w:space="0" w:color="auto"/>
              <w:bottom w:val="single" w:sz="4" w:space="0" w:color="auto"/>
              <w:right w:val="single" w:sz="4" w:space="0" w:color="auto"/>
            </w:tcBorders>
            <w:vAlign w:val="bottom"/>
            <w:hideMark/>
          </w:tcPr>
          <w:p w14:paraId="3D5EF0C9" w14:textId="77777777" w:rsidR="00BC0F82" w:rsidRPr="00224AA8" w:rsidRDefault="00BC0F82" w:rsidP="00BC0F82">
            <w:pPr>
              <w:spacing w:before="60" w:after="60"/>
            </w:pPr>
            <w:r w:rsidRPr="00224AA8">
              <w:t>District Court</w:t>
            </w:r>
          </w:p>
        </w:tc>
        <w:tc>
          <w:tcPr>
            <w:tcW w:w="992" w:type="dxa"/>
            <w:tcBorders>
              <w:top w:val="nil"/>
              <w:left w:val="nil"/>
              <w:bottom w:val="single" w:sz="4" w:space="0" w:color="auto"/>
              <w:right w:val="single" w:sz="4" w:space="0" w:color="auto"/>
            </w:tcBorders>
          </w:tcPr>
          <w:p w14:paraId="7E4821E3" w14:textId="71CA94BA" w:rsidR="00BC0F82" w:rsidRPr="007F61EF" w:rsidRDefault="00BC0F82" w:rsidP="00BC0F82">
            <w:pPr>
              <w:spacing w:before="60" w:after="60"/>
              <w:jc w:val="right"/>
              <w:rPr>
                <w:rFonts w:cs="Arial"/>
                <w:szCs w:val="20"/>
              </w:rPr>
            </w:pPr>
            <w:r w:rsidRPr="007F61EF">
              <w:rPr>
                <w:rFonts w:cs="Arial"/>
                <w:szCs w:val="20"/>
              </w:rPr>
              <w:t>16</w:t>
            </w:r>
          </w:p>
        </w:tc>
        <w:tc>
          <w:tcPr>
            <w:tcW w:w="992" w:type="dxa"/>
            <w:tcBorders>
              <w:top w:val="nil"/>
              <w:left w:val="nil"/>
              <w:bottom w:val="single" w:sz="4" w:space="0" w:color="auto"/>
              <w:right w:val="single" w:sz="4" w:space="0" w:color="auto"/>
            </w:tcBorders>
          </w:tcPr>
          <w:p w14:paraId="3048FD9F" w14:textId="59A14071" w:rsidR="00BC0F82" w:rsidRPr="007F61EF" w:rsidRDefault="00BC0F82" w:rsidP="00BC0F82">
            <w:pPr>
              <w:spacing w:before="60" w:after="60"/>
              <w:jc w:val="right"/>
              <w:rPr>
                <w:rFonts w:cs="Arial"/>
                <w:szCs w:val="20"/>
              </w:rPr>
            </w:pPr>
            <w:r w:rsidRPr="007F61EF">
              <w:rPr>
                <w:rFonts w:cs="Arial"/>
                <w:szCs w:val="20"/>
              </w:rPr>
              <w:t>11</w:t>
            </w:r>
          </w:p>
        </w:tc>
        <w:tc>
          <w:tcPr>
            <w:tcW w:w="992" w:type="dxa"/>
            <w:tcBorders>
              <w:top w:val="nil"/>
              <w:left w:val="nil"/>
              <w:bottom w:val="single" w:sz="4" w:space="0" w:color="auto"/>
              <w:right w:val="single" w:sz="4" w:space="0" w:color="auto"/>
            </w:tcBorders>
          </w:tcPr>
          <w:p w14:paraId="7B3695D9" w14:textId="0EDEE9BC" w:rsidR="00BC0F82" w:rsidRPr="007F61EF" w:rsidRDefault="00BC0F82" w:rsidP="00BC0F82">
            <w:pPr>
              <w:spacing w:before="60" w:after="60"/>
              <w:jc w:val="right"/>
              <w:rPr>
                <w:rFonts w:cs="Arial"/>
                <w:szCs w:val="20"/>
              </w:rPr>
            </w:pPr>
            <w:r w:rsidRPr="007F61EF">
              <w:rPr>
                <w:rFonts w:cs="Arial"/>
                <w:szCs w:val="20"/>
              </w:rPr>
              <w:t>14</w:t>
            </w:r>
          </w:p>
        </w:tc>
        <w:tc>
          <w:tcPr>
            <w:tcW w:w="992" w:type="dxa"/>
            <w:tcBorders>
              <w:top w:val="nil"/>
              <w:left w:val="nil"/>
              <w:bottom w:val="single" w:sz="4" w:space="0" w:color="auto"/>
              <w:right w:val="single" w:sz="4" w:space="0" w:color="auto"/>
            </w:tcBorders>
          </w:tcPr>
          <w:p w14:paraId="781FA4E8" w14:textId="1EBA6207" w:rsidR="00BC0F82" w:rsidRPr="007F61EF" w:rsidRDefault="00BC0F82" w:rsidP="00BC0F82">
            <w:pPr>
              <w:spacing w:before="60" w:after="60"/>
              <w:jc w:val="right"/>
              <w:rPr>
                <w:rFonts w:cs="Arial"/>
                <w:szCs w:val="20"/>
              </w:rPr>
            </w:pPr>
            <w:r w:rsidRPr="007F61EF">
              <w:rPr>
                <w:rFonts w:cs="Arial"/>
                <w:szCs w:val="20"/>
              </w:rPr>
              <w:t>5</w:t>
            </w:r>
          </w:p>
        </w:tc>
        <w:tc>
          <w:tcPr>
            <w:tcW w:w="992" w:type="dxa"/>
            <w:tcBorders>
              <w:top w:val="nil"/>
              <w:left w:val="nil"/>
              <w:bottom w:val="single" w:sz="4" w:space="0" w:color="auto"/>
              <w:right w:val="single" w:sz="4" w:space="0" w:color="auto"/>
            </w:tcBorders>
          </w:tcPr>
          <w:p w14:paraId="71065AE1" w14:textId="55DDB9B7" w:rsidR="00BC0F82" w:rsidRPr="007F61EF" w:rsidRDefault="00BC0F82" w:rsidP="00BC0F82">
            <w:pPr>
              <w:spacing w:before="60" w:after="60"/>
              <w:jc w:val="right"/>
              <w:rPr>
                <w:rFonts w:cs="Arial"/>
                <w:b/>
                <w:bCs/>
                <w:szCs w:val="20"/>
              </w:rPr>
            </w:pPr>
            <w:r w:rsidRPr="007F61EF">
              <w:rPr>
                <w:rFonts w:cs="Arial"/>
                <w:b/>
                <w:bCs/>
                <w:szCs w:val="20"/>
              </w:rPr>
              <w:t>46</w:t>
            </w:r>
          </w:p>
        </w:tc>
      </w:tr>
      <w:tr w:rsidR="00BC0F82" w:rsidRPr="00224AA8" w14:paraId="03CFDFC2" w14:textId="77777777" w:rsidTr="00594D14">
        <w:trPr>
          <w:trHeight w:val="255"/>
        </w:trPr>
        <w:tc>
          <w:tcPr>
            <w:tcW w:w="2694" w:type="dxa"/>
            <w:tcBorders>
              <w:top w:val="nil"/>
              <w:left w:val="single" w:sz="4" w:space="0" w:color="auto"/>
              <w:bottom w:val="single" w:sz="4" w:space="0" w:color="auto"/>
              <w:right w:val="single" w:sz="4" w:space="0" w:color="auto"/>
            </w:tcBorders>
            <w:vAlign w:val="bottom"/>
          </w:tcPr>
          <w:p w14:paraId="7C77AEAD" w14:textId="77777777" w:rsidR="00BC0F82" w:rsidRPr="00224AA8" w:rsidRDefault="00BC0F82" w:rsidP="00BC0F82">
            <w:pPr>
              <w:spacing w:before="60" w:after="60"/>
            </w:pPr>
            <w:r>
              <w:t>Childrens Court</w:t>
            </w:r>
          </w:p>
        </w:tc>
        <w:tc>
          <w:tcPr>
            <w:tcW w:w="992" w:type="dxa"/>
            <w:tcBorders>
              <w:top w:val="nil"/>
              <w:left w:val="nil"/>
              <w:bottom w:val="single" w:sz="4" w:space="0" w:color="auto"/>
              <w:right w:val="single" w:sz="4" w:space="0" w:color="auto"/>
            </w:tcBorders>
          </w:tcPr>
          <w:p w14:paraId="16752646" w14:textId="1878F711" w:rsidR="00BC0F82" w:rsidRPr="007F61EF" w:rsidRDefault="00BC0F82" w:rsidP="00BC0F82">
            <w:pPr>
              <w:spacing w:before="60" w:after="60"/>
              <w:jc w:val="right"/>
              <w:rPr>
                <w:rFonts w:cs="Arial"/>
                <w:szCs w:val="20"/>
              </w:rPr>
            </w:pPr>
            <w:r w:rsidRPr="007F61EF">
              <w:rPr>
                <w:rFonts w:cs="Arial"/>
                <w:szCs w:val="20"/>
              </w:rPr>
              <w:t>0</w:t>
            </w:r>
          </w:p>
        </w:tc>
        <w:tc>
          <w:tcPr>
            <w:tcW w:w="992" w:type="dxa"/>
            <w:tcBorders>
              <w:top w:val="nil"/>
              <w:left w:val="nil"/>
              <w:bottom w:val="single" w:sz="4" w:space="0" w:color="auto"/>
              <w:right w:val="single" w:sz="4" w:space="0" w:color="auto"/>
            </w:tcBorders>
          </w:tcPr>
          <w:p w14:paraId="274A15FC" w14:textId="00A6B29F" w:rsidR="00BC0F82" w:rsidRPr="007F61EF" w:rsidRDefault="00BC0F82" w:rsidP="00BC0F82">
            <w:pPr>
              <w:spacing w:before="60" w:after="60"/>
              <w:jc w:val="right"/>
              <w:rPr>
                <w:rFonts w:cs="Arial"/>
                <w:szCs w:val="20"/>
              </w:rPr>
            </w:pPr>
            <w:r w:rsidRPr="007F61EF">
              <w:rPr>
                <w:rFonts w:cs="Arial"/>
                <w:szCs w:val="20"/>
              </w:rPr>
              <w:t>0</w:t>
            </w:r>
          </w:p>
        </w:tc>
        <w:tc>
          <w:tcPr>
            <w:tcW w:w="992" w:type="dxa"/>
            <w:tcBorders>
              <w:top w:val="nil"/>
              <w:left w:val="nil"/>
              <w:bottom w:val="single" w:sz="4" w:space="0" w:color="auto"/>
              <w:right w:val="single" w:sz="4" w:space="0" w:color="auto"/>
            </w:tcBorders>
          </w:tcPr>
          <w:p w14:paraId="603A341E" w14:textId="44ED4BA1" w:rsidR="00BC0F82" w:rsidRPr="007F61EF" w:rsidRDefault="00BC0F82" w:rsidP="00BC0F82">
            <w:pPr>
              <w:spacing w:before="60" w:after="60"/>
              <w:jc w:val="right"/>
              <w:rPr>
                <w:rFonts w:cs="Arial"/>
                <w:szCs w:val="20"/>
              </w:rPr>
            </w:pPr>
            <w:r w:rsidRPr="007F61EF">
              <w:rPr>
                <w:rFonts w:cs="Arial"/>
                <w:szCs w:val="20"/>
              </w:rPr>
              <w:t>24</w:t>
            </w:r>
          </w:p>
        </w:tc>
        <w:tc>
          <w:tcPr>
            <w:tcW w:w="992" w:type="dxa"/>
            <w:tcBorders>
              <w:top w:val="nil"/>
              <w:left w:val="nil"/>
              <w:bottom w:val="single" w:sz="4" w:space="0" w:color="auto"/>
              <w:right w:val="single" w:sz="4" w:space="0" w:color="auto"/>
            </w:tcBorders>
          </w:tcPr>
          <w:p w14:paraId="33EE5F5B" w14:textId="4053E55C" w:rsidR="00BC0F82" w:rsidRPr="007F61EF" w:rsidRDefault="00517644" w:rsidP="00BC0F82">
            <w:pPr>
              <w:spacing w:before="60" w:after="60"/>
              <w:jc w:val="right"/>
              <w:rPr>
                <w:rFonts w:cs="Arial"/>
                <w:szCs w:val="20"/>
              </w:rPr>
            </w:pPr>
            <w:r>
              <w:rPr>
                <w:rFonts w:cs="Arial"/>
                <w:szCs w:val="20"/>
              </w:rPr>
              <w:t>101</w:t>
            </w:r>
          </w:p>
        </w:tc>
        <w:tc>
          <w:tcPr>
            <w:tcW w:w="992" w:type="dxa"/>
            <w:tcBorders>
              <w:top w:val="nil"/>
              <w:left w:val="nil"/>
              <w:bottom w:val="single" w:sz="4" w:space="0" w:color="auto"/>
              <w:right w:val="single" w:sz="4" w:space="0" w:color="auto"/>
            </w:tcBorders>
          </w:tcPr>
          <w:p w14:paraId="5ACCF495" w14:textId="7681C0C7" w:rsidR="00BC0F82" w:rsidRPr="007F61EF" w:rsidRDefault="00BC0F82" w:rsidP="00BC0F82">
            <w:pPr>
              <w:spacing w:before="60" w:after="60"/>
              <w:jc w:val="right"/>
              <w:rPr>
                <w:rFonts w:cs="Arial"/>
                <w:b/>
                <w:bCs/>
                <w:szCs w:val="20"/>
              </w:rPr>
            </w:pPr>
            <w:r w:rsidRPr="007F61EF">
              <w:rPr>
                <w:rFonts w:cs="Arial"/>
                <w:b/>
                <w:bCs/>
                <w:szCs w:val="20"/>
              </w:rPr>
              <w:t>12</w:t>
            </w:r>
            <w:r w:rsidR="00517644">
              <w:rPr>
                <w:rFonts w:cs="Arial"/>
                <w:b/>
                <w:bCs/>
                <w:szCs w:val="20"/>
              </w:rPr>
              <w:t>5</w:t>
            </w:r>
          </w:p>
        </w:tc>
      </w:tr>
      <w:tr w:rsidR="00BC0F82" w:rsidRPr="00224AA8" w14:paraId="730C3899" w14:textId="77777777" w:rsidTr="00594D14">
        <w:trPr>
          <w:trHeight w:val="255"/>
        </w:trPr>
        <w:tc>
          <w:tcPr>
            <w:tcW w:w="2694" w:type="dxa"/>
            <w:tcBorders>
              <w:top w:val="nil"/>
              <w:left w:val="single" w:sz="4" w:space="0" w:color="auto"/>
              <w:bottom w:val="single" w:sz="4" w:space="0" w:color="auto"/>
              <w:right w:val="single" w:sz="4" w:space="0" w:color="auto"/>
            </w:tcBorders>
            <w:vAlign w:val="bottom"/>
            <w:hideMark/>
          </w:tcPr>
          <w:p w14:paraId="58C7D0F8" w14:textId="77777777" w:rsidR="00BC0F82" w:rsidRPr="00224AA8" w:rsidRDefault="00BC0F82" w:rsidP="00BC0F82">
            <w:pPr>
              <w:spacing w:before="60" w:after="60"/>
            </w:pPr>
            <w:r w:rsidRPr="00224AA8">
              <w:t>Magistrates Court</w:t>
            </w:r>
          </w:p>
        </w:tc>
        <w:tc>
          <w:tcPr>
            <w:tcW w:w="992" w:type="dxa"/>
            <w:tcBorders>
              <w:top w:val="nil"/>
              <w:left w:val="nil"/>
              <w:bottom w:val="single" w:sz="4" w:space="0" w:color="auto"/>
              <w:right w:val="single" w:sz="4" w:space="0" w:color="auto"/>
            </w:tcBorders>
          </w:tcPr>
          <w:p w14:paraId="04A89C7B" w14:textId="2AA8A58A" w:rsidR="00BC0F82" w:rsidRPr="007F61EF" w:rsidRDefault="00BC0F82" w:rsidP="00BC0F82">
            <w:pPr>
              <w:spacing w:before="60" w:after="60"/>
              <w:jc w:val="right"/>
              <w:rPr>
                <w:rFonts w:cs="Arial"/>
                <w:szCs w:val="20"/>
              </w:rPr>
            </w:pPr>
            <w:r w:rsidRPr="007F61EF">
              <w:rPr>
                <w:rFonts w:cs="Arial"/>
                <w:szCs w:val="20"/>
              </w:rPr>
              <w:t>319</w:t>
            </w:r>
          </w:p>
        </w:tc>
        <w:tc>
          <w:tcPr>
            <w:tcW w:w="992" w:type="dxa"/>
            <w:tcBorders>
              <w:top w:val="nil"/>
              <w:left w:val="nil"/>
              <w:bottom w:val="single" w:sz="4" w:space="0" w:color="auto"/>
              <w:right w:val="single" w:sz="4" w:space="0" w:color="auto"/>
            </w:tcBorders>
          </w:tcPr>
          <w:p w14:paraId="5387BAC1" w14:textId="084940CD" w:rsidR="00BC0F82" w:rsidRPr="007F61EF" w:rsidRDefault="00BC0F82" w:rsidP="00BC0F82">
            <w:pPr>
              <w:spacing w:before="60" w:after="60"/>
              <w:jc w:val="right"/>
              <w:rPr>
                <w:rFonts w:cs="Arial"/>
                <w:szCs w:val="20"/>
              </w:rPr>
            </w:pPr>
            <w:r w:rsidRPr="007F61EF">
              <w:rPr>
                <w:rFonts w:cs="Arial"/>
                <w:szCs w:val="20"/>
              </w:rPr>
              <w:t>294</w:t>
            </w:r>
          </w:p>
        </w:tc>
        <w:tc>
          <w:tcPr>
            <w:tcW w:w="992" w:type="dxa"/>
            <w:tcBorders>
              <w:top w:val="nil"/>
              <w:left w:val="nil"/>
              <w:bottom w:val="single" w:sz="4" w:space="0" w:color="auto"/>
              <w:right w:val="single" w:sz="4" w:space="0" w:color="auto"/>
            </w:tcBorders>
          </w:tcPr>
          <w:p w14:paraId="19144E11" w14:textId="423A73D6" w:rsidR="00BC0F82" w:rsidRPr="007F61EF" w:rsidRDefault="00BC0F82" w:rsidP="00BC0F82">
            <w:pPr>
              <w:spacing w:before="60" w:after="60"/>
              <w:jc w:val="right"/>
              <w:rPr>
                <w:rFonts w:cs="Arial"/>
                <w:szCs w:val="20"/>
              </w:rPr>
            </w:pPr>
            <w:r w:rsidRPr="007F61EF">
              <w:rPr>
                <w:rFonts w:cs="Arial"/>
                <w:szCs w:val="20"/>
              </w:rPr>
              <w:t>247</w:t>
            </w:r>
          </w:p>
        </w:tc>
        <w:tc>
          <w:tcPr>
            <w:tcW w:w="992" w:type="dxa"/>
            <w:tcBorders>
              <w:top w:val="nil"/>
              <w:left w:val="nil"/>
              <w:bottom w:val="single" w:sz="4" w:space="0" w:color="auto"/>
              <w:right w:val="single" w:sz="4" w:space="0" w:color="auto"/>
            </w:tcBorders>
          </w:tcPr>
          <w:p w14:paraId="3B038E62" w14:textId="199A8A5F" w:rsidR="00BC0F82" w:rsidRPr="007F61EF" w:rsidRDefault="00BC0F82" w:rsidP="00BC0F82">
            <w:pPr>
              <w:spacing w:before="60" w:after="60"/>
              <w:jc w:val="right"/>
              <w:rPr>
                <w:rFonts w:cs="Arial"/>
                <w:szCs w:val="20"/>
              </w:rPr>
            </w:pPr>
            <w:r w:rsidRPr="007F61EF">
              <w:rPr>
                <w:rFonts w:cs="Arial"/>
                <w:szCs w:val="20"/>
              </w:rPr>
              <w:t>180</w:t>
            </w:r>
          </w:p>
        </w:tc>
        <w:tc>
          <w:tcPr>
            <w:tcW w:w="992" w:type="dxa"/>
            <w:tcBorders>
              <w:top w:val="nil"/>
              <w:left w:val="nil"/>
              <w:bottom w:val="single" w:sz="4" w:space="0" w:color="auto"/>
              <w:right w:val="single" w:sz="4" w:space="0" w:color="auto"/>
            </w:tcBorders>
          </w:tcPr>
          <w:p w14:paraId="127A25E3" w14:textId="1E6B4907" w:rsidR="00BC0F82" w:rsidRPr="007F61EF" w:rsidRDefault="00BC0F82" w:rsidP="00BC0F82">
            <w:pPr>
              <w:spacing w:before="60" w:after="60"/>
              <w:jc w:val="right"/>
              <w:rPr>
                <w:rFonts w:cs="Arial"/>
                <w:b/>
                <w:bCs/>
                <w:szCs w:val="20"/>
              </w:rPr>
            </w:pPr>
            <w:r w:rsidRPr="007F61EF">
              <w:rPr>
                <w:rFonts w:cs="Arial"/>
                <w:b/>
                <w:bCs/>
                <w:szCs w:val="20"/>
              </w:rPr>
              <w:t>1,040</w:t>
            </w:r>
          </w:p>
        </w:tc>
      </w:tr>
      <w:tr w:rsidR="00BC0F82" w:rsidRPr="00224AA8" w14:paraId="32E2B83C" w14:textId="77777777" w:rsidTr="00594D14">
        <w:trPr>
          <w:trHeight w:val="255"/>
        </w:trPr>
        <w:tc>
          <w:tcPr>
            <w:tcW w:w="2694" w:type="dxa"/>
            <w:tcBorders>
              <w:top w:val="nil"/>
              <w:left w:val="single" w:sz="4" w:space="0" w:color="auto"/>
              <w:bottom w:val="single" w:sz="4" w:space="0" w:color="auto"/>
              <w:right w:val="single" w:sz="4" w:space="0" w:color="auto"/>
            </w:tcBorders>
            <w:vAlign w:val="bottom"/>
            <w:hideMark/>
          </w:tcPr>
          <w:p w14:paraId="36E43C32" w14:textId="77777777" w:rsidR="00BC0F82" w:rsidRPr="00224AA8" w:rsidRDefault="00BC0F82" w:rsidP="00BC0F82">
            <w:pPr>
              <w:spacing w:before="60" w:after="60"/>
            </w:pPr>
            <w:r w:rsidRPr="00224AA8">
              <w:t>Domestic Violence Breach</w:t>
            </w:r>
          </w:p>
        </w:tc>
        <w:tc>
          <w:tcPr>
            <w:tcW w:w="992" w:type="dxa"/>
            <w:tcBorders>
              <w:top w:val="nil"/>
              <w:left w:val="nil"/>
              <w:bottom w:val="single" w:sz="4" w:space="0" w:color="auto"/>
              <w:right w:val="single" w:sz="4" w:space="0" w:color="auto"/>
            </w:tcBorders>
          </w:tcPr>
          <w:p w14:paraId="6CE61251" w14:textId="0C25AF05" w:rsidR="00BC0F82" w:rsidRPr="007F61EF" w:rsidRDefault="00BC0F82" w:rsidP="00BC0F82">
            <w:pPr>
              <w:spacing w:before="60" w:after="60"/>
              <w:jc w:val="right"/>
              <w:rPr>
                <w:rFonts w:cs="Arial"/>
                <w:szCs w:val="20"/>
              </w:rPr>
            </w:pPr>
            <w:r w:rsidRPr="007F61EF">
              <w:rPr>
                <w:rFonts w:cs="Arial"/>
                <w:szCs w:val="20"/>
              </w:rPr>
              <w:t>29</w:t>
            </w:r>
          </w:p>
        </w:tc>
        <w:tc>
          <w:tcPr>
            <w:tcW w:w="992" w:type="dxa"/>
            <w:tcBorders>
              <w:top w:val="nil"/>
              <w:left w:val="nil"/>
              <w:bottom w:val="single" w:sz="4" w:space="0" w:color="auto"/>
              <w:right w:val="single" w:sz="4" w:space="0" w:color="auto"/>
            </w:tcBorders>
          </w:tcPr>
          <w:p w14:paraId="5159AA8E" w14:textId="5C2F2D66" w:rsidR="00BC0F82" w:rsidRPr="007F61EF" w:rsidRDefault="00BC0F82" w:rsidP="00BC0F82">
            <w:pPr>
              <w:spacing w:before="60" w:after="60"/>
              <w:jc w:val="right"/>
              <w:rPr>
                <w:rFonts w:cs="Arial"/>
                <w:szCs w:val="20"/>
              </w:rPr>
            </w:pPr>
            <w:r w:rsidRPr="007F61EF">
              <w:rPr>
                <w:rFonts w:cs="Arial"/>
                <w:szCs w:val="20"/>
              </w:rPr>
              <w:t>39</w:t>
            </w:r>
          </w:p>
        </w:tc>
        <w:tc>
          <w:tcPr>
            <w:tcW w:w="992" w:type="dxa"/>
            <w:tcBorders>
              <w:top w:val="nil"/>
              <w:left w:val="nil"/>
              <w:bottom w:val="single" w:sz="4" w:space="0" w:color="auto"/>
              <w:right w:val="single" w:sz="4" w:space="0" w:color="auto"/>
            </w:tcBorders>
          </w:tcPr>
          <w:p w14:paraId="77F0F09C" w14:textId="6A468B65" w:rsidR="00BC0F82" w:rsidRPr="007F61EF" w:rsidRDefault="00BC0F82" w:rsidP="00BC0F82">
            <w:pPr>
              <w:spacing w:before="60" w:after="60"/>
              <w:jc w:val="right"/>
              <w:rPr>
                <w:rFonts w:cs="Arial"/>
                <w:szCs w:val="20"/>
              </w:rPr>
            </w:pPr>
            <w:r w:rsidRPr="007F61EF">
              <w:rPr>
                <w:rFonts w:cs="Arial"/>
                <w:szCs w:val="20"/>
              </w:rPr>
              <w:t>16</w:t>
            </w:r>
          </w:p>
        </w:tc>
        <w:tc>
          <w:tcPr>
            <w:tcW w:w="992" w:type="dxa"/>
            <w:tcBorders>
              <w:top w:val="nil"/>
              <w:left w:val="nil"/>
              <w:bottom w:val="single" w:sz="4" w:space="0" w:color="auto"/>
              <w:right w:val="single" w:sz="4" w:space="0" w:color="auto"/>
            </w:tcBorders>
          </w:tcPr>
          <w:p w14:paraId="714B8781" w14:textId="5A423936" w:rsidR="00BC0F82" w:rsidRPr="007F61EF" w:rsidRDefault="00BC0F82" w:rsidP="00BC0F82">
            <w:pPr>
              <w:spacing w:before="60" w:after="60"/>
              <w:jc w:val="right"/>
              <w:rPr>
                <w:rFonts w:cs="Arial"/>
                <w:szCs w:val="20"/>
              </w:rPr>
            </w:pPr>
            <w:r w:rsidRPr="007F61EF">
              <w:rPr>
                <w:rFonts w:cs="Arial"/>
                <w:szCs w:val="20"/>
              </w:rPr>
              <w:t>18</w:t>
            </w:r>
          </w:p>
        </w:tc>
        <w:tc>
          <w:tcPr>
            <w:tcW w:w="992" w:type="dxa"/>
            <w:tcBorders>
              <w:top w:val="nil"/>
              <w:left w:val="nil"/>
              <w:bottom w:val="single" w:sz="4" w:space="0" w:color="auto"/>
              <w:right w:val="single" w:sz="4" w:space="0" w:color="auto"/>
            </w:tcBorders>
          </w:tcPr>
          <w:p w14:paraId="799A635C" w14:textId="56D2E554" w:rsidR="00BC0F82" w:rsidRPr="007F61EF" w:rsidRDefault="00BC0F82" w:rsidP="00BC0F82">
            <w:pPr>
              <w:spacing w:before="60" w:after="60"/>
              <w:jc w:val="right"/>
              <w:rPr>
                <w:rFonts w:cs="Arial"/>
                <w:b/>
                <w:bCs/>
                <w:szCs w:val="20"/>
              </w:rPr>
            </w:pPr>
            <w:r w:rsidRPr="007F61EF">
              <w:rPr>
                <w:rFonts w:cs="Arial"/>
                <w:b/>
                <w:bCs/>
                <w:szCs w:val="20"/>
              </w:rPr>
              <w:t>102</w:t>
            </w:r>
          </w:p>
        </w:tc>
      </w:tr>
      <w:tr w:rsidR="00BC0F82" w:rsidRPr="00224AA8" w14:paraId="1434734D" w14:textId="77777777" w:rsidTr="00594D14">
        <w:trPr>
          <w:trHeight w:val="255"/>
        </w:trPr>
        <w:tc>
          <w:tcPr>
            <w:tcW w:w="2694" w:type="dxa"/>
            <w:tcBorders>
              <w:top w:val="nil"/>
              <w:left w:val="single" w:sz="4" w:space="0" w:color="auto"/>
              <w:bottom w:val="single" w:sz="4" w:space="0" w:color="auto"/>
              <w:right w:val="single" w:sz="4" w:space="0" w:color="auto"/>
            </w:tcBorders>
            <w:vAlign w:val="bottom"/>
            <w:hideMark/>
          </w:tcPr>
          <w:p w14:paraId="3EC29A5B" w14:textId="77777777" w:rsidR="00BC0F82" w:rsidRPr="00224AA8" w:rsidRDefault="00BC0F82" w:rsidP="00BC0F82">
            <w:pPr>
              <w:spacing w:before="60" w:after="60"/>
            </w:pPr>
            <w:r w:rsidRPr="00224AA8">
              <w:t>Domestic Violence Order</w:t>
            </w:r>
          </w:p>
        </w:tc>
        <w:tc>
          <w:tcPr>
            <w:tcW w:w="992" w:type="dxa"/>
            <w:tcBorders>
              <w:top w:val="nil"/>
              <w:left w:val="nil"/>
              <w:bottom w:val="single" w:sz="4" w:space="0" w:color="auto"/>
              <w:right w:val="single" w:sz="4" w:space="0" w:color="auto"/>
            </w:tcBorders>
          </w:tcPr>
          <w:p w14:paraId="4AA8769D" w14:textId="7736C858" w:rsidR="00BC0F82" w:rsidRPr="007F61EF" w:rsidRDefault="00BC0F82" w:rsidP="00BC0F82">
            <w:pPr>
              <w:spacing w:before="60" w:after="60"/>
              <w:jc w:val="right"/>
              <w:rPr>
                <w:rFonts w:cs="Arial"/>
                <w:szCs w:val="20"/>
              </w:rPr>
            </w:pPr>
            <w:r w:rsidRPr="007F61EF">
              <w:rPr>
                <w:rFonts w:cs="Arial"/>
                <w:szCs w:val="20"/>
              </w:rPr>
              <w:t>53</w:t>
            </w:r>
          </w:p>
        </w:tc>
        <w:tc>
          <w:tcPr>
            <w:tcW w:w="992" w:type="dxa"/>
            <w:tcBorders>
              <w:top w:val="nil"/>
              <w:left w:val="nil"/>
              <w:bottom w:val="single" w:sz="4" w:space="0" w:color="auto"/>
              <w:right w:val="single" w:sz="4" w:space="0" w:color="auto"/>
            </w:tcBorders>
          </w:tcPr>
          <w:p w14:paraId="3BDB51E8" w14:textId="182E7B15" w:rsidR="00BC0F82" w:rsidRPr="007F61EF" w:rsidRDefault="00BC0F82" w:rsidP="00BC0F82">
            <w:pPr>
              <w:spacing w:before="60" w:after="60"/>
              <w:jc w:val="right"/>
              <w:rPr>
                <w:rFonts w:cs="Arial"/>
                <w:szCs w:val="20"/>
              </w:rPr>
            </w:pPr>
            <w:r w:rsidRPr="007F61EF">
              <w:rPr>
                <w:rFonts w:cs="Arial"/>
                <w:szCs w:val="20"/>
              </w:rPr>
              <w:t>36</w:t>
            </w:r>
          </w:p>
        </w:tc>
        <w:tc>
          <w:tcPr>
            <w:tcW w:w="992" w:type="dxa"/>
            <w:tcBorders>
              <w:top w:val="nil"/>
              <w:left w:val="nil"/>
              <w:bottom w:val="single" w:sz="4" w:space="0" w:color="auto"/>
              <w:right w:val="single" w:sz="4" w:space="0" w:color="auto"/>
            </w:tcBorders>
          </w:tcPr>
          <w:p w14:paraId="67E20832" w14:textId="5DA0D69B" w:rsidR="00BC0F82" w:rsidRPr="007F61EF" w:rsidRDefault="00BC0F82" w:rsidP="00BC0F82">
            <w:pPr>
              <w:spacing w:before="60" w:after="60"/>
              <w:jc w:val="right"/>
              <w:rPr>
                <w:rFonts w:cs="Arial"/>
                <w:szCs w:val="20"/>
              </w:rPr>
            </w:pPr>
            <w:r w:rsidRPr="007F61EF">
              <w:rPr>
                <w:rFonts w:cs="Arial"/>
                <w:szCs w:val="20"/>
              </w:rPr>
              <w:t>69</w:t>
            </w:r>
          </w:p>
        </w:tc>
        <w:tc>
          <w:tcPr>
            <w:tcW w:w="992" w:type="dxa"/>
            <w:tcBorders>
              <w:top w:val="nil"/>
              <w:left w:val="nil"/>
              <w:bottom w:val="single" w:sz="4" w:space="0" w:color="auto"/>
              <w:right w:val="single" w:sz="4" w:space="0" w:color="auto"/>
            </w:tcBorders>
          </w:tcPr>
          <w:p w14:paraId="65615AFA" w14:textId="41120372" w:rsidR="00BC0F82" w:rsidRPr="007F61EF" w:rsidRDefault="00BC0F82" w:rsidP="00BC0F82">
            <w:pPr>
              <w:spacing w:before="60" w:after="60"/>
              <w:jc w:val="right"/>
              <w:rPr>
                <w:rFonts w:cs="Arial"/>
                <w:szCs w:val="20"/>
              </w:rPr>
            </w:pPr>
            <w:r w:rsidRPr="007F61EF">
              <w:rPr>
                <w:rFonts w:cs="Arial"/>
                <w:szCs w:val="20"/>
              </w:rPr>
              <w:t>56</w:t>
            </w:r>
          </w:p>
        </w:tc>
        <w:tc>
          <w:tcPr>
            <w:tcW w:w="992" w:type="dxa"/>
            <w:tcBorders>
              <w:top w:val="nil"/>
              <w:left w:val="nil"/>
              <w:bottom w:val="single" w:sz="4" w:space="0" w:color="auto"/>
              <w:right w:val="single" w:sz="4" w:space="0" w:color="auto"/>
            </w:tcBorders>
          </w:tcPr>
          <w:p w14:paraId="62EC097A" w14:textId="073EB81E" w:rsidR="00BC0F82" w:rsidRPr="007F61EF" w:rsidRDefault="00BC0F82" w:rsidP="00BC0F82">
            <w:pPr>
              <w:spacing w:before="60" w:after="60"/>
              <w:jc w:val="right"/>
              <w:rPr>
                <w:rFonts w:cs="Arial"/>
                <w:b/>
                <w:bCs/>
                <w:szCs w:val="20"/>
              </w:rPr>
            </w:pPr>
            <w:r w:rsidRPr="007F61EF">
              <w:rPr>
                <w:rFonts w:cs="Arial"/>
                <w:b/>
                <w:bCs/>
                <w:szCs w:val="20"/>
              </w:rPr>
              <w:t>214</w:t>
            </w:r>
          </w:p>
        </w:tc>
      </w:tr>
      <w:tr w:rsidR="00BC0F82" w:rsidRPr="00224AA8" w14:paraId="5A1658B7" w14:textId="77777777" w:rsidTr="00594D14">
        <w:trPr>
          <w:trHeight w:val="255"/>
        </w:trPr>
        <w:tc>
          <w:tcPr>
            <w:tcW w:w="2694" w:type="dxa"/>
            <w:tcBorders>
              <w:top w:val="nil"/>
              <w:left w:val="single" w:sz="4" w:space="0" w:color="auto"/>
              <w:bottom w:val="single" w:sz="4" w:space="0" w:color="auto"/>
              <w:right w:val="single" w:sz="4" w:space="0" w:color="auto"/>
            </w:tcBorders>
            <w:vAlign w:val="bottom"/>
            <w:hideMark/>
          </w:tcPr>
          <w:p w14:paraId="3B380C9E" w14:textId="77777777" w:rsidR="00BC0F82" w:rsidRPr="00224AA8" w:rsidRDefault="00BC0F82" w:rsidP="00BC0F82">
            <w:pPr>
              <w:spacing w:before="60" w:after="60"/>
            </w:pPr>
            <w:r w:rsidRPr="00224AA8">
              <w:t>School Attendance</w:t>
            </w:r>
          </w:p>
        </w:tc>
        <w:tc>
          <w:tcPr>
            <w:tcW w:w="992" w:type="dxa"/>
            <w:tcBorders>
              <w:top w:val="nil"/>
              <w:left w:val="nil"/>
              <w:bottom w:val="single" w:sz="4" w:space="0" w:color="auto"/>
              <w:right w:val="single" w:sz="4" w:space="0" w:color="auto"/>
            </w:tcBorders>
          </w:tcPr>
          <w:p w14:paraId="7048D35A" w14:textId="421C6AB9" w:rsidR="00BC0F82" w:rsidRPr="007F61EF" w:rsidRDefault="00BC0F82" w:rsidP="00BC0F82">
            <w:pPr>
              <w:spacing w:before="60" w:after="60"/>
              <w:jc w:val="right"/>
              <w:rPr>
                <w:rFonts w:cs="Arial"/>
                <w:szCs w:val="20"/>
              </w:rPr>
            </w:pPr>
            <w:r w:rsidRPr="007F61EF">
              <w:rPr>
                <w:rFonts w:cs="Arial"/>
                <w:szCs w:val="20"/>
              </w:rPr>
              <w:t>749</w:t>
            </w:r>
          </w:p>
        </w:tc>
        <w:tc>
          <w:tcPr>
            <w:tcW w:w="992" w:type="dxa"/>
            <w:tcBorders>
              <w:top w:val="nil"/>
              <w:left w:val="nil"/>
              <w:bottom w:val="single" w:sz="4" w:space="0" w:color="auto"/>
              <w:right w:val="single" w:sz="4" w:space="0" w:color="auto"/>
            </w:tcBorders>
          </w:tcPr>
          <w:p w14:paraId="34E10840" w14:textId="75B98FD7" w:rsidR="00BC0F82" w:rsidRPr="007F61EF" w:rsidRDefault="00BC0F82" w:rsidP="00BC0F82">
            <w:pPr>
              <w:spacing w:before="60" w:after="60"/>
              <w:jc w:val="right"/>
              <w:rPr>
                <w:rFonts w:cs="Arial"/>
                <w:szCs w:val="20"/>
              </w:rPr>
            </w:pPr>
            <w:r w:rsidRPr="007F61EF">
              <w:rPr>
                <w:rFonts w:cs="Arial"/>
                <w:szCs w:val="20"/>
              </w:rPr>
              <w:t>732</w:t>
            </w:r>
          </w:p>
        </w:tc>
        <w:tc>
          <w:tcPr>
            <w:tcW w:w="992" w:type="dxa"/>
            <w:tcBorders>
              <w:top w:val="nil"/>
              <w:left w:val="nil"/>
              <w:bottom w:val="single" w:sz="4" w:space="0" w:color="auto"/>
              <w:right w:val="single" w:sz="4" w:space="0" w:color="auto"/>
            </w:tcBorders>
          </w:tcPr>
          <w:p w14:paraId="38065019" w14:textId="4ED54A8D" w:rsidR="00BC0F82" w:rsidRPr="007F61EF" w:rsidRDefault="00BC0F82" w:rsidP="00BC0F82">
            <w:pPr>
              <w:spacing w:before="60" w:after="60"/>
              <w:jc w:val="right"/>
              <w:rPr>
                <w:rFonts w:cs="Arial"/>
                <w:szCs w:val="20"/>
              </w:rPr>
            </w:pPr>
            <w:r w:rsidRPr="007F61EF">
              <w:rPr>
                <w:rFonts w:cs="Arial"/>
                <w:szCs w:val="20"/>
              </w:rPr>
              <w:t>652</w:t>
            </w:r>
          </w:p>
        </w:tc>
        <w:tc>
          <w:tcPr>
            <w:tcW w:w="992" w:type="dxa"/>
            <w:tcBorders>
              <w:top w:val="nil"/>
              <w:left w:val="nil"/>
              <w:bottom w:val="single" w:sz="4" w:space="0" w:color="auto"/>
              <w:right w:val="single" w:sz="4" w:space="0" w:color="auto"/>
            </w:tcBorders>
          </w:tcPr>
          <w:p w14:paraId="653BA88B" w14:textId="1352910B" w:rsidR="00BC0F82" w:rsidRPr="007F61EF" w:rsidRDefault="00BC0F82" w:rsidP="00BC0F82">
            <w:pPr>
              <w:spacing w:before="60" w:after="60"/>
              <w:jc w:val="right"/>
              <w:rPr>
                <w:rFonts w:cs="Arial"/>
                <w:szCs w:val="20"/>
              </w:rPr>
            </w:pPr>
            <w:r w:rsidRPr="007F61EF">
              <w:rPr>
                <w:rFonts w:cs="Arial"/>
                <w:szCs w:val="20"/>
              </w:rPr>
              <w:t>711</w:t>
            </w:r>
          </w:p>
        </w:tc>
        <w:tc>
          <w:tcPr>
            <w:tcW w:w="992" w:type="dxa"/>
            <w:tcBorders>
              <w:top w:val="nil"/>
              <w:left w:val="nil"/>
              <w:bottom w:val="single" w:sz="4" w:space="0" w:color="auto"/>
              <w:right w:val="single" w:sz="4" w:space="0" w:color="auto"/>
            </w:tcBorders>
          </w:tcPr>
          <w:p w14:paraId="3CBDD80E" w14:textId="5EEAF2F5" w:rsidR="00BC0F82" w:rsidRPr="007F61EF" w:rsidRDefault="00BC0F82" w:rsidP="00BC0F82">
            <w:pPr>
              <w:spacing w:before="60" w:after="60"/>
              <w:jc w:val="right"/>
              <w:rPr>
                <w:rFonts w:cs="Arial"/>
                <w:b/>
                <w:bCs/>
                <w:szCs w:val="20"/>
              </w:rPr>
            </w:pPr>
            <w:r w:rsidRPr="007F61EF">
              <w:rPr>
                <w:rFonts w:cs="Arial"/>
                <w:b/>
                <w:bCs/>
                <w:szCs w:val="20"/>
              </w:rPr>
              <w:t>2,844</w:t>
            </w:r>
          </w:p>
        </w:tc>
      </w:tr>
      <w:tr w:rsidR="00BC0F82" w:rsidRPr="00224AA8" w14:paraId="5467D167" w14:textId="77777777" w:rsidTr="00594D14">
        <w:trPr>
          <w:trHeight w:val="255"/>
        </w:trPr>
        <w:tc>
          <w:tcPr>
            <w:tcW w:w="2694" w:type="dxa"/>
            <w:tcBorders>
              <w:top w:val="nil"/>
              <w:left w:val="single" w:sz="4" w:space="0" w:color="auto"/>
              <w:bottom w:val="single" w:sz="4" w:space="0" w:color="auto"/>
              <w:right w:val="single" w:sz="4" w:space="0" w:color="auto"/>
            </w:tcBorders>
            <w:vAlign w:val="bottom"/>
            <w:hideMark/>
          </w:tcPr>
          <w:p w14:paraId="26565733" w14:textId="77777777" w:rsidR="00BC0F82" w:rsidRPr="00224AA8" w:rsidRDefault="00BC0F82" w:rsidP="00BC0F82">
            <w:pPr>
              <w:spacing w:before="60" w:after="60"/>
            </w:pPr>
            <w:r w:rsidRPr="00224AA8">
              <w:t>School Enrolment</w:t>
            </w:r>
          </w:p>
        </w:tc>
        <w:tc>
          <w:tcPr>
            <w:tcW w:w="992" w:type="dxa"/>
            <w:tcBorders>
              <w:top w:val="nil"/>
              <w:left w:val="nil"/>
              <w:bottom w:val="single" w:sz="4" w:space="0" w:color="auto"/>
              <w:right w:val="single" w:sz="4" w:space="0" w:color="auto"/>
            </w:tcBorders>
          </w:tcPr>
          <w:p w14:paraId="595BF686" w14:textId="62E3E8CA" w:rsidR="00BC0F82" w:rsidRPr="007F61EF" w:rsidRDefault="00BC0F82" w:rsidP="00BC0F82">
            <w:pPr>
              <w:spacing w:before="60" w:after="60"/>
              <w:jc w:val="right"/>
              <w:rPr>
                <w:rFonts w:cs="Arial"/>
                <w:szCs w:val="20"/>
              </w:rPr>
            </w:pPr>
            <w:r w:rsidRPr="007F61EF">
              <w:rPr>
                <w:rFonts w:cs="Arial"/>
                <w:szCs w:val="20"/>
              </w:rPr>
              <w:t>1</w:t>
            </w:r>
          </w:p>
        </w:tc>
        <w:tc>
          <w:tcPr>
            <w:tcW w:w="992" w:type="dxa"/>
            <w:tcBorders>
              <w:top w:val="nil"/>
              <w:left w:val="nil"/>
              <w:bottom w:val="single" w:sz="4" w:space="0" w:color="auto"/>
              <w:right w:val="single" w:sz="4" w:space="0" w:color="auto"/>
            </w:tcBorders>
          </w:tcPr>
          <w:p w14:paraId="380D58F5" w14:textId="64F6894D" w:rsidR="00BC0F82" w:rsidRPr="007F61EF" w:rsidRDefault="00BC0F82" w:rsidP="00BC0F82">
            <w:pPr>
              <w:spacing w:before="60" w:after="60"/>
              <w:jc w:val="right"/>
              <w:rPr>
                <w:rFonts w:cs="Arial"/>
                <w:szCs w:val="20"/>
              </w:rPr>
            </w:pPr>
            <w:r w:rsidRPr="007F61EF">
              <w:rPr>
                <w:rFonts w:cs="Arial"/>
                <w:szCs w:val="20"/>
              </w:rPr>
              <w:t>6</w:t>
            </w:r>
          </w:p>
        </w:tc>
        <w:tc>
          <w:tcPr>
            <w:tcW w:w="992" w:type="dxa"/>
            <w:tcBorders>
              <w:top w:val="nil"/>
              <w:left w:val="nil"/>
              <w:bottom w:val="single" w:sz="4" w:space="0" w:color="auto"/>
              <w:right w:val="single" w:sz="4" w:space="0" w:color="auto"/>
            </w:tcBorders>
          </w:tcPr>
          <w:p w14:paraId="731A8684" w14:textId="13E3290B" w:rsidR="00BC0F82" w:rsidRPr="007F61EF" w:rsidRDefault="00BC0F82" w:rsidP="00BC0F82">
            <w:pPr>
              <w:spacing w:before="60" w:after="60"/>
              <w:jc w:val="right"/>
              <w:rPr>
                <w:rFonts w:cs="Arial"/>
                <w:szCs w:val="20"/>
              </w:rPr>
            </w:pPr>
            <w:r w:rsidRPr="007F61EF">
              <w:rPr>
                <w:rFonts w:cs="Arial"/>
                <w:szCs w:val="20"/>
              </w:rPr>
              <w:t>0</w:t>
            </w:r>
          </w:p>
        </w:tc>
        <w:tc>
          <w:tcPr>
            <w:tcW w:w="992" w:type="dxa"/>
            <w:tcBorders>
              <w:top w:val="nil"/>
              <w:left w:val="nil"/>
              <w:bottom w:val="single" w:sz="4" w:space="0" w:color="auto"/>
              <w:right w:val="single" w:sz="4" w:space="0" w:color="auto"/>
            </w:tcBorders>
          </w:tcPr>
          <w:p w14:paraId="5BA77C26" w14:textId="7D72D3DD" w:rsidR="00BC0F82" w:rsidRPr="007F61EF" w:rsidRDefault="00BC0F82" w:rsidP="00BC0F82">
            <w:pPr>
              <w:spacing w:before="60" w:after="60"/>
              <w:jc w:val="right"/>
              <w:rPr>
                <w:rFonts w:cs="Arial"/>
                <w:szCs w:val="20"/>
              </w:rPr>
            </w:pPr>
            <w:r w:rsidRPr="007F61EF">
              <w:rPr>
                <w:rFonts w:cs="Arial"/>
                <w:szCs w:val="20"/>
              </w:rPr>
              <w:t>2</w:t>
            </w:r>
          </w:p>
        </w:tc>
        <w:tc>
          <w:tcPr>
            <w:tcW w:w="992" w:type="dxa"/>
            <w:tcBorders>
              <w:top w:val="nil"/>
              <w:left w:val="nil"/>
              <w:bottom w:val="single" w:sz="4" w:space="0" w:color="auto"/>
              <w:right w:val="single" w:sz="4" w:space="0" w:color="auto"/>
            </w:tcBorders>
          </w:tcPr>
          <w:p w14:paraId="4352A3EF" w14:textId="03157740" w:rsidR="00BC0F82" w:rsidRPr="007F61EF" w:rsidRDefault="00BC0F82" w:rsidP="00BC0F82">
            <w:pPr>
              <w:spacing w:before="60" w:after="60"/>
              <w:jc w:val="right"/>
              <w:rPr>
                <w:rFonts w:cs="Arial"/>
                <w:b/>
                <w:bCs/>
                <w:szCs w:val="20"/>
              </w:rPr>
            </w:pPr>
            <w:r w:rsidRPr="007F61EF">
              <w:rPr>
                <w:rFonts w:cs="Arial"/>
                <w:b/>
                <w:bCs/>
                <w:szCs w:val="20"/>
              </w:rPr>
              <w:t>9</w:t>
            </w:r>
          </w:p>
        </w:tc>
      </w:tr>
      <w:tr w:rsidR="00BC0F82" w:rsidRPr="00224AA8" w14:paraId="02408E8D" w14:textId="77777777" w:rsidTr="00594D14">
        <w:trPr>
          <w:trHeight w:val="255"/>
        </w:trPr>
        <w:tc>
          <w:tcPr>
            <w:tcW w:w="2694" w:type="dxa"/>
            <w:tcBorders>
              <w:top w:val="nil"/>
              <w:left w:val="single" w:sz="4" w:space="0" w:color="auto"/>
              <w:bottom w:val="single" w:sz="4" w:space="0" w:color="auto"/>
              <w:right w:val="single" w:sz="4" w:space="0" w:color="auto"/>
            </w:tcBorders>
            <w:vAlign w:val="bottom"/>
            <w:hideMark/>
          </w:tcPr>
          <w:p w14:paraId="2DD9447F" w14:textId="77777777" w:rsidR="00BC0F82" w:rsidRPr="00224AA8" w:rsidRDefault="00BC0F82" w:rsidP="00BC0F82">
            <w:pPr>
              <w:spacing w:before="60" w:after="60"/>
            </w:pPr>
            <w:r w:rsidRPr="00224AA8">
              <w:t>Child Safety and Welfare</w:t>
            </w:r>
          </w:p>
        </w:tc>
        <w:tc>
          <w:tcPr>
            <w:tcW w:w="992" w:type="dxa"/>
            <w:tcBorders>
              <w:top w:val="nil"/>
              <w:left w:val="nil"/>
              <w:bottom w:val="single" w:sz="4" w:space="0" w:color="auto"/>
              <w:right w:val="single" w:sz="4" w:space="0" w:color="auto"/>
            </w:tcBorders>
          </w:tcPr>
          <w:p w14:paraId="03257B15" w14:textId="4F016199" w:rsidR="00BC0F82" w:rsidRPr="007F61EF" w:rsidRDefault="00BC0F82" w:rsidP="00BC0F82">
            <w:pPr>
              <w:spacing w:before="60" w:after="60"/>
              <w:jc w:val="right"/>
              <w:rPr>
                <w:rFonts w:cs="Arial"/>
                <w:szCs w:val="20"/>
              </w:rPr>
            </w:pPr>
            <w:r w:rsidRPr="007F61EF">
              <w:rPr>
                <w:rFonts w:cs="Arial"/>
                <w:szCs w:val="20"/>
              </w:rPr>
              <w:t>58</w:t>
            </w:r>
          </w:p>
        </w:tc>
        <w:tc>
          <w:tcPr>
            <w:tcW w:w="992" w:type="dxa"/>
            <w:tcBorders>
              <w:top w:val="nil"/>
              <w:left w:val="nil"/>
              <w:bottom w:val="single" w:sz="4" w:space="0" w:color="auto"/>
              <w:right w:val="single" w:sz="4" w:space="0" w:color="auto"/>
            </w:tcBorders>
          </w:tcPr>
          <w:p w14:paraId="4FEF77EB" w14:textId="32A3318B" w:rsidR="00BC0F82" w:rsidRPr="007F61EF" w:rsidRDefault="00BC0F82" w:rsidP="00BC0F82">
            <w:pPr>
              <w:spacing w:before="60" w:after="60"/>
              <w:jc w:val="right"/>
              <w:rPr>
                <w:rFonts w:cs="Arial"/>
                <w:szCs w:val="20"/>
              </w:rPr>
            </w:pPr>
            <w:r w:rsidRPr="007F61EF">
              <w:rPr>
                <w:rFonts w:cs="Arial"/>
                <w:szCs w:val="20"/>
              </w:rPr>
              <w:t>55</w:t>
            </w:r>
          </w:p>
        </w:tc>
        <w:tc>
          <w:tcPr>
            <w:tcW w:w="992" w:type="dxa"/>
            <w:tcBorders>
              <w:top w:val="nil"/>
              <w:left w:val="nil"/>
              <w:bottom w:val="single" w:sz="4" w:space="0" w:color="auto"/>
              <w:right w:val="single" w:sz="4" w:space="0" w:color="auto"/>
            </w:tcBorders>
          </w:tcPr>
          <w:p w14:paraId="30D8616B" w14:textId="4397EDFC" w:rsidR="00BC0F82" w:rsidRPr="007F61EF" w:rsidRDefault="00BC0F82" w:rsidP="00BC0F82">
            <w:pPr>
              <w:spacing w:before="60" w:after="60"/>
              <w:jc w:val="right"/>
              <w:rPr>
                <w:rFonts w:cs="Arial"/>
                <w:szCs w:val="20"/>
              </w:rPr>
            </w:pPr>
            <w:r w:rsidRPr="007F61EF">
              <w:rPr>
                <w:rFonts w:cs="Arial"/>
                <w:szCs w:val="20"/>
              </w:rPr>
              <w:t>53</w:t>
            </w:r>
          </w:p>
        </w:tc>
        <w:tc>
          <w:tcPr>
            <w:tcW w:w="992" w:type="dxa"/>
            <w:tcBorders>
              <w:top w:val="nil"/>
              <w:left w:val="nil"/>
              <w:bottom w:val="single" w:sz="4" w:space="0" w:color="auto"/>
              <w:right w:val="single" w:sz="4" w:space="0" w:color="auto"/>
            </w:tcBorders>
          </w:tcPr>
          <w:p w14:paraId="781E17B1" w14:textId="0F1D24FE" w:rsidR="00BC0F82" w:rsidRPr="007F61EF" w:rsidRDefault="00BC0F82" w:rsidP="00BC0F82">
            <w:pPr>
              <w:spacing w:before="60" w:after="60"/>
              <w:jc w:val="right"/>
              <w:rPr>
                <w:rFonts w:cs="Arial"/>
                <w:szCs w:val="20"/>
              </w:rPr>
            </w:pPr>
            <w:r w:rsidRPr="007F61EF">
              <w:rPr>
                <w:rFonts w:cs="Arial"/>
                <w:szCs w:val="20"/>
              </w:rPr>
              <w:t>41</w:t>
            </w:r>
          </w:p>
        </w:tc>
        <w:tc>
          <w:tcPr>
            <w:tcW w:w="992" w:type="dxa"/>
            <w:tcBorders>
              <w:top w:val="nil"/>
              <w:left w:val="nil"/>
              <w:bottom w:val="single" w:sz="4" w:space="0" w:color="auto"/>
              <w:right w:val="single" w:sz="4" w:space="0" w:color="auto"/>
            </w:tcBorders>
          </w:tcPr>
          <w:p w14:paraId="357FC8A1" w14:textId="4599B48C" w:rsidR="00BC0F82" w:rsidRPr="007F61EF" w:rsidRDefault="00BC0F82" w:rsidP="00BC0F82">
            <w:pPr>
              <w:spacing w:before="60" w:after="60"/>
              <w:jc w:val="right"/>
              <w:rPr>
                <w:rFonts w:cs="Arial"/>
                <w:b/>
                <w:bCs/>
                <w:szCs w:val="20"/>
              </w:rPr>
            </w:pPr>
            <w:r w:rsidRPr="007F61EF">
              <w:rPr>
                <w:rFonts w:cs="Arial"/>
                <w:b/>
                <w:bCs/>
                <w:szCs w:val="20"/>
              </w:rPr>
              <w:t>207</w:t>
            </w:r>
          </w:p>
        </w:tc>
      </w:tr>
      <w:tr w:rsidR="00BC0F82" w:rsidRPr="00224AA8" w14:paraId="426ED119" w14:textId="77777777" w:rsidTr="00594D14">
        <w:trPr>
          <w:trHeight w:val="255"/>
        </w:trPr>
        <w:tc>
          <w:tcPr>
            <w:tcW w:w="2694" w:type="dxa"/>
            <w:tcBorders>
              <w:top w:val="nil"/>
              <w:left w:val="single" w:sz="4" w:space="0" w:color="auto"/>
              <w:bottom w:val="single" w:sz="4" w:space="0" w:color="auto"/>
              <w:right w:val="single" w:sz="4" w:space="0" w:color="auto"/>
            </w:tcBorders>
            <w:vAlign w:val="bottom"/>
            <w:hideMark/>
          </w:tcPr>
          <w:p w14:paraId="01A96455" w14:textId="77777777" w:rsidR="00BC0F82" w:rsidRPr="00224AA8" w:rsidRDefault="00BC0F82" w:rsidP="00BC0F82">
            <w:pPr>
              <w:spacing w:before="60" w:after="60"/>
            </w:pPr>
            <w:r w:rsidRPr="00224AA8">
              <w:t>Housing Tenancy</w:t>
            </w:r>
          </w:p>
        </w:tc>
        <w:tc>
          <w:tcPr>
            <w:tcW w:w="992" w:type="dxa"/>
            <w:tcBorders>
              <w:top w:val="nil"/>
              <w:left w:val="nil"/>
              <w:bottom w:val="single" w:sz="4" w:space="0" w:color="auto"/>
              <w:right w:val="single" w:sz="4" w:space="0" w:color="auto"/>
            </w:tcBorders>
          </w:tcPr>
          <w:p w14:paraId="5A7AD1B1" w14:textId="687EB10F" w:rsidR="00BC0F82" w:rsidRPr="007F61EF" w:rsidRDefault="00BC0F82" w:rsidP="00BC0F82">
            <w:pPr>
              <w:spacing w:before="60" w:after="60"/>
              <w:jc w:val="right"/>
              <w:rPr>
                <w:rFonts w:cs="Arial"/>
                <w:szCs w:val="20"/>
              </w:rPr>
            </w:pPr>
            <w:r w:rsidRPr="007F61EF">
              <w:rPr>
                <w:rFonts w:cs="Arial"/>
                <w:szCs w:val="20"/>
              </w:rPr>
              <w:t>0</w:t>
            </w:r>
          </w:p>
        </w:tc>
        <w:tc>
          <w:tcPr>
            <w:tcW w:w="992" w:type="dxa"/>
            <w:tcBorders>
              <w:top w:val="nil"/>
              <w:left w:val="nil"/>
              <w:bottom w:val="single" w:sz="4" w:space="0" w:color="auto"/>
              <w:right w:val="single" w:sz="4" w:space="0" w:color="auto"/>
            </w:tcBorders>
          </w:tcPr>
          <w:p w14:paraId="34CB68B5" w14:textId="52476158" w:rsidR="00BC0F82" w:rsidRPr="007F61EF" w:rsidRDefault="00BC0F82" w:rsidP="00BC0F82">
            <w:pPr>
              <w:spacing w:before="60" w:after="60"/>
              <w:jc w:val="right"/>
              <w:rPr>
                <w:rFonts w:cs="Arial"/>
                <w:szCs w:val="20"/>
              </w:rPr>
            </w:pPr>
            <w:r w:rsidRPr="007F61EF">
              <w:rPr>
                <w:rFonts w:cs="Arial"/>
                <w:szCs w:val="20"/>
              </w:rPr>
              <w:t>0</w:t>
            </w:r>
          </w:p>
        </w:tc>
        <w:tc>
          <w:tcPr>
            <w:tcW w:w="992" w:type="dxa"/>
            <w:tcBorders>
              <w:top w:val="nil"/>
              <w:left w:val="nil"/>
              <w:bottom w:val="single" w:sz="4" w:space="0" w:color="auto"/>
              <w:right w:val="single" w:sz="4" w:space="0" w:color="auto"/>
            </w:tcBorders>
          </w:tcPr>
          <w:p w14:paraId="7A7CC6AF" w14:textId="7EC16C4C" w:rsidR="00BC0F82" w:rsidRPr="007F61EF" w:rsidRDefault="00BC0F82" w:rsidP="00BC0F82">
            <w:pPr>
              <w:spacing w:before="60" w:after="60"/>
              <w:jc w:val="right"/>
              <w:rPr>
                <w:rFonts w:cs="Arial"/>
                <w:szCs w:val="20"/>
              </w:rPr>
            </w:pPr>
            <w:r w:rsidRPr="007F61EF">
              <w:rPr>
                <w:rFonts w:cs="Arial"/>
                <w:szCs w:val="20"/>
              </w:rPr>
              <w:t>2</w:t>
            </w:r>
          </w:p>
        </w:tc>
        <w:tc>
          <w:tcPr>
            <w:tcW w:w="992" w:type="dxa"/>
            <w:tcBorders>
              <w:top w:val="nil"/>
              <w:left w:val="nil"/>
              <w:bottom w:val="single" w:sz="4" w:space="0" w:color="auto"/>
              <w:right w:val="single" w:sz="4" w:space="0" w:color="auto"/>
            </w:tcBorders>
          </w:tcPr>
          <w:p w14:paraId="1FDF2D19" w14:textId="75E6DC3E" w:rsidR="00BC0F82" w:rsidRPr="007F61EF" w:rsidRDefault="00BC0F82" w:rsidP="00BC0F82">
            <w:pPr>
              <w:spacing w:before="60" w:after="60"/>
              <w:jc w:val="right"/>
              <w:rPr>
                <w:rFonts w:cs="Arial"/>
                <w:szCs w:val="20"/>
              </w:rPr>
            </w:pPr>
            <w:r w:rsidRPr="007F61EF">
              <w:rPr>
                <w:rFonts w:cs="Arial"/>
                <w:szCs w:val="20"/>
              </w:rPr>
              <w:t>6</w:t>
            </w:r>
          </w:p>
        </w:tc>
        <w:tc>
          <w:tcPr>
            <w:tcW w:w="992" w:type="dxa"/>
            <w:tcBorders>
              <w:top w:val="nil"/>
              <w:left w:val="nil"/>
              <w:bottom w:val="single" w:sz="4" w:space="0" w:color="auto"/>
              <w:right w:val="single" w:sz="4" w:space="0" w:color="auto"/>
            </w:tcBorders>
          </w:tcPr>
          <w:p w14:paraId="4FD1E5EF" w14:textId="645198E7" w:rsidR="00BC0F82" w:rsidRPr="007F61EF" w:rsidRDefault="00BC0F82" w:rsidP="00BC0F82">
            <w:pPr>
              <w:spacing w:before="60" w:after="60"/>
              <w:jc w:val="right"/>
              <w:rPr>
                <w:rFonts w:cs="Arial"/>
                <w:b/>
                <w:bCs/>
                <w:szCs w:val="20"/>
              </w:rPr>
            </w:pPr>
            <w:r w:rsidRPr="007F61EF">
              <w:rPr>
                <w:rFonts w:cs="Arial"/>
                <w:b/>
                <w:bCs/>
                <w:szCs w:val="20"/>
              </w:rPr>
              <w:t>8</w:t>
            </w:r>
          </w:p>
        </w:tc>
      </w:tr>
      <w:tr w:rsidR="00BC0F82" w:rsidRPr="00224AA8" w14:paraId="16BC3DFA" w14:textId="77777777" w:rsidTr="00594D14">
        <w:trPr>
          <w:trHeight w:val="255"/>
        </w:trPr>
        <w:tc>
          <w:tcPr>
            <w:tcW w:w="2694" w:type="dxa"/>
            <w:tcBorders>
              <w:top w:val="nil"/>
              <w:left w:val="single" w:sz="4" w:space="0" w:color="auto"/>
              <w:bottom w:val="single" w:sz="4" w:space="0" w:color="auto"/>
              <w:right w:val="single" w:sz="4" w:space="0" w:color="auto"/>
            </w:tcBorders>
            <w:noWrap/>
            <w:hideMark/>
          </w:tcPr>
          <w:p w14:paraId="30588CAA" w14:textId="77777777" w:rsidR="00BC0F82" w:rsidRPr="00224AA8" w:rsidRDefault="00BC0F82" w:rsidP="00BC0F82">
            <w:pPr>
              <w:spacing w:before="60" w:after="60"/>
              <w:rPr>
                <w:b/>
                <w:bCs/>
              </w:rPr>
            </w:pPr>
            <w:r w:rsidRPr="00224AA8">
              <w:rPr>
                <w:b/>
                <w:bCs/>
              </w:rPr>
              <w:t>Total</w:t>
            </w:r>
          </w:p>
        </w:tc>
        <w:tc>
          <w:tcPr>
            <w:tcW w:w="992" w:type="dxa"/>
            <w:tcBorders>
              <w:top w:val="nil"/>
              <w:left w:val="nil"/>
              <w:bottom w:val="single" w:sz="4" w:space="0" w:color="auto"/>
              <w:right w:val="single" w:sz="4" w:space="0" w:color="auto"/>
            </w:tcBorders>
            <w:noWrap/>
          </w:tcPr>
          <w:p w14:paraId="501934C4" w14:textId="7525DFEC" w:rsidR="00BC0F82" w:rsidRPr="007F61EF" w:rsidRDefault="00BC0F82" w:rsidP="00BC0F82">
            <w:pPr>
              <w:spacing w:before="60" w:after="60"/>
              <w:jc w:val="right"/>
              <w:rPr>
                <w:rFonts w:cs="Arial"/>
                <w:b/>
                <w:bCs/>
                <w:szCs w:val="20"/>
              </w:rPr>
            </w:pPr>
            <w:r w:rsidRPr="007F61EF">
              <w:rPr>
                <w:rFonts w:cs="Arial"/>
                <w:b/>
                <w:bCs/>
                <w:szCs w:val="20"/>
              </w:rPr>
              <w:t>1,225</w:t>
            </w:r>
          </w:p>
        </w:tc>
        <w:tc>
          <w:tcPr>
            <w:tcW w:w="992" w:type="dxa"/>
            <w:tcBorders>
              <w:top w:val="nil"/>
              <w:left w:val="nil"/>
              <w:bottom w:val="single" w:sz="4" w:space="0" w:color="auto"/>
              <w:right w:val="single" w:sz="4" w:space="0" w:color="auto"/>
            </w:tcBorders>
            <w:noWrap/>
          </w:tcPr>
          <w:p w14:paraId="720A2954" w14:textId="7B9F00F8" w:rsidR="00BC0F82" w:rsidRPr="007F61EF" w:rsidRDefault="00BC0F82" w:rsidP="00BC0F82">
            <w:pPr>
              <w:spacing w:before="60" w:after="60"/>
              <w:jc w:val="right"/>
              <w:rPr>
                <w:rFonts w:cs="Arial"/>
                <w:b/>
                <w:bCs/>
                <w:szCs w:val="20"/>
              </w:rPr>
            </w:pPr>
            <w:r w:rsidRPr="007F61EF">
              <w:rPr>
                <w:rFonts w:cs="Arial"/>
                <w:b/>
                <w:bCs/>
                <w:szCs w:val="20"/>
              </w:rPr>
              <w:t>1,173</w:t>
            </w:r>
          </w:p>
        </w:tc>
        <w:tc>
          <w:tcPr>
            <w:tcW w:w="992" w:type="dxa"/>
            <w:tcBorders>
              <w:top w:val="nil"/>
              <w:left w:val="nil"/>
              <w:bottom w:val="single" w:sz="4" w:space="0" w:color="auto"/>
              <w:right w:val="single" w:sz="4" w:space="0" w:color="auto"/>
            </w:tcBorders>
            <w:noWrap/>
          </w:tcPr>
          <w:p w14:paraId="0AE06B76" w14:textId="5E25BCCE" w:rsidR="00BC0F82" w:rsidRPr="007F61EF" w:rsidRDefault="00BC0F82" w:rsidP="00BC0F82">
            <w:pPr>
              <w:spacing w:before="60" w:after="60"/>
              <w:jc w:val="right"/>
              <w:rPr>
                <w:rFonts w:cs="Arial"/>
                <w:b/>
                <w:bCs/>
                <w:szCs w:val="20"/>
              </w:rPr>
            </w:pPr>
            <w:r w:rsidRPr="007F61EF">
              <w:rPr>
                <w:rFonts w:cs="Arial"/>
                <w:b/>
                <w:bCs/>
                <w:szCs w:val="20"/>
              </w:rPr>
              <w:t>1,077</w:t>
            </w:r>
          </w:p>
        </w:tc>
        <w:tc>
          <w:tcPr>
            <w:tcW w:w="992" w:type="dxa"/>
            <w:tcBorders>
              <w:top w:val="nil"/>
              <w:left w:val="nil"/>
              <w:bottom w:val="single" w:sz="4" w:space="0" w:color="auto"/>
              <w:right w:val="single" w:sz="4" w:space="0" w:color="auto"/>
            </w:tcBorders>
            <w:noWrap/>
          </w:tcPr>
          <w:p w14:paraId="5E874FBA" w14:textId="26A4AE52" w:rsidR="00BC0F82" w:rsidRPr="007F61EF" w:rsidRDefault="00BC0F82" w:rsidP="00BC0F82">
            <w:pPr>
              <w:spacing w:before="60" w:after="60"/>
              <w:jc w:val="right"/>
              <w:rPr>
                <w:rFonts w:cs="Arial"/>
                <w:b/>
                <w:bCs/>
                <w:szCs w:val="20"/>
              </w:rPr>
            </w:pPr>
            <w:r w:rsidRPr="007F61EF">
              <w:rPr>
                <w:rFonts w:cs="Arial"/>
                <w:b/>
                <w:bCs/>
                <w:szCs w:val="20"/>
              </w:rPr>
              <w:t>1,1</w:t>
            </w:r>
            <w:r w:rsidR="00517644">
              <w:rPr>
                <w:rFonts w:cs="Arial"/>
                <w:b/>
                <w:bCs/>
                <w:szCs w:val="20"/>
              </w:rPr>
              <w:t>20</w:t>
            </w:r>
          </w:p>
        </w:tc>
        <w:tc>
          <w:tcPr>
            <w:tcW w:w="992" w:type="dxa"/>
            <w:tcBorders>
              <w:top w:val="nil"/>
              <w:left w:val="nil"/>
              <w:bottom w:val="single" w:sz="4" w:space="0" w:color="auto"/>
              <w:right w:val="single" w:sz="4" w:space="0" w:color="auto"/>
            </w:tcBorders>
          </w:tcPr>
          <w:p w14:paraId="080A85D0" w14:textId="0E08F1A6" w:rsidR="00BC0F82" w:rsidRPr="007F61EF" w:rsidRDefault="00BC0F82" w:rsidP="00BC0F82">
            <w:pPr>
              <w:spacing w:before="60" w:after="60"/>
              <w:jc w:val="right"/>
              <w:rPr>
                <w:rFonts w:cs="Arial"/>
                <w:b/>
                <w:bCs/>
                <w:szCs w:val="20"/>
              </w:rPr>
            </w:pPr>
            <w:r w:rsidRPr="007F61EF">
              <w:rPr>
                <w:rFonts w:cs="Arial"/>
                <w:b/>
                <w:bCs/>
                <w:szCs w:val="20"/>
              </w:rPr>
              <w:t>4,59</w:t>
            </w:r>
            <w:r w:rsidR="00517644">
              <w:rPr>
                <w:rFonts w:cs="Arial"/>
                <w:b/>
                <w:bCs/>
                <w:szCs w:val="20"/>
              </w:rPr>
              <w:t>5</w:t>
            </w:r>
          </w:p>
        </w:tc>
      </w:tr>
    </w:tbl>
    <w:p w14:paraId="4EA26940" w14:textId="77777777" w:rsidR="006B6F53" w:rsidRPr="00224AA8" w:rsidRDefault="006B6F53" w:rsidP="006B6F53">
      <w:pPr>
        <w:rPr>
          <w:lang w:val="en-US"/>
        </w:rPr>
      </w:pPr>
    </w:p>
    <w:p w14:paraId="47AC9663" w14:textId="77777777" w:rsidR="006B6F53" w:rsidRPr="00C04C81" w:rsidRDefault="006B6F53" w:rsidP="006B6F53">
      <w:pPr>
        <w:pStyle w:val="Heading5"/>
      </w:pPr>
      <w:r w:rsidRPr="00C4332D">
        <w:t>Notices received by the Commission which were unable to be accessed for jurisdiction</w:t>
      </w:r>
    </w:p>
    <w:p w14:paraId="446790F5" w14:textId="77777777" w:rsidR="0029612C" w:rsidRDefault="0029612C" w:rsidP="0029612C">
      <w:pPr>
        <w:rPr>
          <w:lang w:val="en-US"/>
        </w:rPr>
      </w:pPr>
      <w:r>
        <w:rPr>
          <w:lang w:val="en-US"/>
        </w:rPr>
        <w:t>From 1 July 2024 to 30 June 2025 t</w:t>
      </w:r>
      <w:r w:rsidRPr="00E10847">
        <w:rPr>
          <w:lang w:val="en-US"/>
        </w:rPr>
        <w:t xml:space="preserve">he Commission received </w:t>
      </w:r>
      <w:r>
        <w:rPr>
          <w:lang w:val="en-US"/>
        </w:rPr>
        <w:t>a further 16 notices for which jurisdiction could not be assessed:</w:t>
      </w:r>
    </w:p>
    <w:p w14:paraId="5430D24E" w14:textId="77777777" w:rsidR="0029612C" w:rsidRDefault="0029612C" w:rsidP="0029612C">
      <w:pPr>
        <w:pStyle w:val="ListParagraph"/>
        <w:numPr>
          <w:ilvl w:val="0"/>
          <w:numId w:val="23"/>
        </w:numPr>
        <w:spacing w:after="120" w:line="260" w:lineRule="exact"/>
        <w:ind w:left="714" w:hanging="357"/>
        <w:rPr>
          <w:lang w:val="en-US"/>
        </w:rPr>
      </w:pPr>
      <w:r w:rsidRPr="00E10847">
        <w:rPr>
          <w:lang w:val="en-US"/>
        </w:rPr>
        <w:t xml:space="preserve">9 Childrens Court notices could not be assessed for jurisdiction due to a lack of parent information </w:t>
      </w:r>
      <w:r>
        <w:rPr>
          <w:lang w:val="en-US"/>
        </w:rPr>
        <w:t>provided</w:t>
      </w:r>
      <w:r w:rsidRPr="00E10847">
        <w:rPr>
          <w:lang w:val="en-US"/>
        </w:rPr>
        <w:t xml:space="preserve"> by the Court. The Commission was unable to generate a </w:t>
      </w:r>
      <w:r>
        <w:rPr>
          <w:lang w:val="en-US"/>
        </w:rPr>
        <w:t xml:space="preserve">SA </w:t>
      </w:r>
      <w:r w:rsidRPr="00E10847">
        <w:rPr>
          <w:lang w:val="en-US"/>
        </w:rPr>
        <w:t>Personal Information Disclosure (PID) for the child record as they were under 16 and not receiving a welfare payment</w:t>
      </w:r>
    </w:p>
    <w:p w14:paraId="7000E93A" w14:textId="77777777" w:rsidR="0029612C" w:rsidRPr="00E10847" w:rsidRDefault="0029612C" w:rsidP="0029612C">
      <w:pPr>
        <w:pStyle w:val="ListParagraph"/>
        <w:numPr>
          <w:ilvl w:val="0"/>
          <w:numId w:val="23"/>
        </w:numPr>
        <w:spacing w:after="120" w:line="260" w:lineRule="exact"/>
        <w:ind w:left="714" w:hanging="357"/>
        <w:rPr>
          <w:lang w:val="en-US"/>
        </w:rPr>
      </w:pPr>
      <w:r w:rsidRPr="00E10847">
        <w:rPr>
          <w:lang w:val="en-US"/>
        </w:rPr>
        <w:t>7</w:t>
      </w:r>
      <w:r w:rsidRPr="00C502E2">
        <w:rPr>
          <w:rFonts w:cs="Arial"/>
        </w:rPr>
        <w:t xml:space="preserve"> Magistrates Court notices relating to one client for which jurisdiction could not be assessed. </w:t>
      </w:r>
      <w:r>
        <w:rPr>
          <w:rFonts w:cs="Arial"/>
        </w:rPr>
        <w:t xml:space="preserve">SA </w:t>
      </w:r>
      <w:r w:rsidRPr="00C502E2">
        <w:rPr>
          <w:rFonts w:cs="Arial"/>
        </w:rPr>
        <w:t xml:space="preserve">has the client </w:t>
      </w:r>
      <w:r>
        <w:rPr>
          <w:rFonts w:cs="Arial"/>
        </w:rPr>
        <w:t xml:space="preserve">record </w:t>
      </w:r>
      <w:r w:rsidRPr="00C502E2">
        <w:rPr>
          <w:rFonts w:cs="Arial"/>
        </w:rPr>
        <w:t xml:space="preserve">listed as </w:t>
      </w:r>
      <w:r>
        <w:rPr>
          <w:rFonts w:cs="Arial"/>
        </w:rPr>
        <w:t>‘</w:t>
      </w:r>
      <w:r w:rsidRPr="00C502E2">
        <w:rPr>
          <w:rFonts w:cs="Arial"/>
        </w:rPr>
        <w:t>restricted</w:t>
      </w:r>
      <w:r>
        <w:rPr>
          <w:rFonts w:cs="Arial"/>
        </w:rPr>
        <w:t>’</w:t>
      </w:r>
      <w:r w:rsidRPr="00C502E2">
        <w:rPr>
          <w:rFonts w:cs="Arial"/>
        </w:rPr>
        <w:t xml:space="preserve"> and due to changes in SA policy the Commission is no longer granted temporary access to generate a</w:t>
      </w:r>
      <w:r>
        <w:rPr>
          <w:rFonts w:cs="Arial"/>
        </w:rPr>
        <w:t xml:space="preserve"> </w:t>
      </w:r>
      <w:r w:rsidRPr="00C502E2">
        <w:rPr>
          <w:rFonts w:cs="Arial"/>
          <w:bCs/>
        </w:rPr>
        <w:t>PID. The PID lists address information and welfare payment eligibility used to assess whether the client is within jurisdiction at the time the Commission received the notice</w:t>
      </w:r>
      <w:r>
        <w:rPr>
          <w:rFonts w:cs="Arial"/>
          <w:bCs/>
        </w:rPr>
        <w:t>.</w:t>
      </w:r>
    </w:p>
    <w:p w14:paraId="258175F4" w14:textId="77777777" w:rsidR="006B6F53" w:rsidRPr="00BD4BEC" w:rsidRDefault="006B6F53" w:rsidP="006B6F53">
      <w:pPr>
        <w:rPr>
          <w:lang w:val="en-US"/>
        </w:rPr>
      </w:pPr>
    </w:p>
    <w:p w14:paraId="7296D7EC" w14:textId="77777777" w:rsidR="006B6F53" w:rsidRPr="00224AA8" w:rsidRDefault="006B6F53" w:rsidP="006B6F53">
      <w:pPr>
        <w:pStyle w:val="Heading5"/>
      </w:pPr>
      <w:r w:rsidRPr="00224AA8">
        <w:t>Our clients have complex needs.</w:t>
      </w:r>
    </w:p>
    <w:p w14:paraId="488BE534" w14:textId="77777777" w:rsidR="002736AC" w:rsidRPr="00224AA8" w:rsidRDefault="002736AC" w:rsidP="002736AC">
      <w:pPr>
        <w:rPr>
          <w:lang w:val="en-US"/>
        </w:rPr>
      </w:pPr>
      <w:r w:rsidRPr="00224AA8">
        <w:rPr>
          <w:lang w:val="en-US"/>
        </w:rPr>
        <w:t>Over-crowded housing, high rates of Indigenous welfare dependency and multi-generational poverty have resulted in communities with high numbers of individuals and families with complex needs. Table 4 provides some insight into the complexity of the issues faced by many clients. During the financial year 8</w:t>
      </w:r>
      <w:r>
        <w:rPr>
          <w:lang w:val="en-US"/>
        </w:rPr>
        <w:t>58</w:t>
      </w:r>
      <w:r w:rsidRPr="00224AA8">
        <w:rPr>
          <w:lang w:val="en-US"/>
        </w:rPr>
        <w:t xml:space="preserve"> clients (</w:t>
      </w:r>
      <w:r>
        <w:rPr>
          <w:lang w:val="en-US"/>
        </w:rPr>
        <w:t>75</w:t>
      </w:r>
      <w:r w:rsidRPr="00224AA8">
        <w:rPr>
          <w:lang w:val="en-US"/>
        </w:rPr>
        <w:t xml:space="preserve">%) were notified to the Commission with only one type of notice, whilst the remaining </w:t>
      </w:r>
      <w:r>
        <w:rPr>
          <w:lang w:val="en-US"/>
        </w:rPr>
        <w:t>287</w:t>
      </w:r>
      <w:r w:rsidRPr="00224AA8">
        <w:rPr>
          <w:lang w:val="en-US"/>
        </w:rPr>
        <w:t xml:space="preserve"> clients (</w:t>
      </w:r>
      <w:r>
        <w:rPr>
          <w:lang w:val="en-US"/>
        </w:rPr>
        <w:t>25</w:t>
      </w:r>
      <w:r w:rsidRPr="00224AA8">
        <w:rPr>
          <w:lang w:val="en-US"/>
        </w:rPr>
        <w:t>%) received more than one type of notice.</w:t>
      </w:r>
    </w:p>
    <w:p w14:paraId="64284A0F" w14:textId="30E94CBC" w:rsidR="00DA0F04" w:rsidRDefault="00DA0F04">
      <w:pPr>
        <w:spacing w:after="160" w:line="259" w:lineRule="auto"/>
        <w:rPr>
          <w:lang w:val="en-US"/>
        </w:rPr>
      </w:pPr>
      <w:r>
        <w:rPr>
          <w:lang w:val="en-US"/>
        </w:rPr>
        <w:br w:type="page"/>
      </w:r>
    </w:p>
    <w:tbl>
      <w:tblPr>
        <w:tblStyle w:val="TableGrid"/>
        <w:tblW w:w="8500" w:type="dxa"/>
        <w:tblLayout w:type="fixed"/>
        <w:tblLook w:val="04A0" w:firstRow="1" w:lastRow="0" w:firstColumn="1" w:lastColumn="0" w:noHBand="0" w:noVBand="1"/>
      </w:tblPr>
      <w:tblGrid>
        <w:gridCol w:w="1468"/>
        <w:gridCol w:w="1178"/>
        <w:gridCol w:w="295"/>
        <w:gridCol w:w="5559"/>
      </w:tblGrid>
      <w:tr w:rsidR="006B6F53" w:rsidRPr="00224AA8" w14:paraId="6146C62F" w14:textId="77777777" w:rsidTr="00594D14">
        <w:tc>
          <w:tcPr>
            <w:tcW w:w="2646" w:type="dxa"/>
            <w:gridSpan w:val="2"/>
            <w:shd w:val="clear" w:color="auto" w:fill="808080" w:themeFill="background1" w:themeFillShade="80"/>
          </w:tcPr>
          <w:p w14:paraId="78AE07F3" w14:textId="77777777" w:rsidR="006B6F53" w:rsidRPr="000B5F84" w:rsidRDefault="006B6F53" w:rsidP="00594D14">
            <w:pPr>
              <w:spacing w:before="60" w:after="60" w:line="240" w:lineRule="auto"/>
              <w:rPr>
                <w:color w:val="FFFFFF" w:themeColor="background1"/>
                <w:lang w:val="en-US"/>
              </w:rPr>
            </w:pPr>
            <w:r w:rsidRPr="009375EA">
              <w:rPr>
                <w:rFonts w:cs="Arial"/>
                <w:b/>
                <w:bCs/>
                <w:color w:val="FFFFFF" w:themeColor="background1"/>
                <w:sz w:val="17"/>
                <w:szCs w:val="17"/>
                <w:lang w:val="en-US"/>
              </w:rPr>
              <w:lastRenderedPageBreak/>
              <w:t xml:space="preserve">Table 4: FRC clients by the </w:t>
            </w:r>
            <w:r w:rsidRPr="009375EA">
              <w:rPr>
                <w:rFonts w:cs="Arial"/>
                <w:b/>
                <w:bCs/>
                <w:color w:val="FFFFFF" w:themeColor="background1"/>
                <w:sz w:val="17"/>
                <w:szCs w:val="17"/>
                <w:lang w:val="en-US"/>
              </w:rPr>
              <w:br/>
              <w:t xml:space="preserve">              number of types of</w:t>
            </w:r>
            <w:r w:rsidRPr="009375EA">
              <w:rPr>
                <w:rFonts w:cs="Arial"/>
                <w:b/>
                <w:bCs/>
                <w:color w:val="FFFFFF" w:themeColor="background1"/>
                <w:sz w:val="17"/>
                <w:szCs w:val="17"/>
                <w:lang w:val="en-US"/>
              </w:rPr>
              <w:br/>
              <w:t xml:space="preserve">              notices 1 July 2024 </w:t>
            </w:r>
            <w:r w:rsidRPr="009375EA">
              <w:rPr>
                <w:rFonts w:cs="Arial"/>
                <w:b/>
                <w:bCs/>
                <w:color w:val="FFFFFF" w:themeColor="background1"/>
                <w:sz w:val="17"/>
                <w:szCs w:val="17"/>
                <w:lang w:val="en-US"/>
              </w:rPr>
              <w:br/>
              <w:t xml:space="preserve">              to 30 June 2025</w:t>
            </w:r>
          </w:p>
        </w:tc>
        <w:tc>
          <w:tcPr>
            <w:tcW w:w="295" w:type="dxa"/>
            <w:tcBorders>
              <w:top w:val="nil"/>
              <w:bottom w:val="nil"/>
              <w:right w:val="nil"/>
            </w:tcBorders>
          </w:tcPr>
          <w:p w14:paraId="4773E1B3" w14:textId="77777777" w:rsidR="006B6F53" w:rsidRPr="00224AA8" w:rsidRDefault="006B6F53" w:rsidP="00594D14">
            <w:pPr>
              <w:rPr>
                <w:lang w:val="en-US"/>
              </w:rPr>
            </w:pPr>
          </w:p>
        </w:tc>
        <w:tc>
          <w:tcPr>
            <w:tcW w:w="5559" w:type="dxa"/>
            <w:vMerge w:val="restart"/>
            <w:tcBorders>
              <w:top w:val="nil"/>
              <w:left w:val="nil"/>
              <w:bottom w:val="nil"/>
              <w:right w:val="nil"/>
            </w:tcBorders>
          </w:tcPr>
          <w:p w14:paraId="43A66393" w14:textId="77777777" w:rsidR="006B6F53" w:rsidRPr="00224AA8" w:rsidRDefault="006B6F53" w:rsidP="00594D14">
            <w:pPr>
              <w:spacing w:after="0" w:line="240" w:lineRule="auto"/>
              <w:jc w:val="both"/>
              <w:rPr>
                <w:lang w:val="en-US"/>
              </w:rPr>
            </w:pPr>
            <w:r w:rsidRPr="006874C5">
              <w:rPr>
                <w:noProof/>
                <w:lang w:val="en-US"/>
              </w:rPr>
              <w:drawing>
                <wp:inline distT="0" distB="0" distL="0" distR="0" wp14:anchorId="48429CFD" wp14:editId="3E8D69E8">
                  <wp:extent cx="3390900" cy="2209800"/>
                  <wp:effectExtent l="0" t="0" r="0" b="0"/>
                  <wp:docPr id="1367351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2209800"/>
                          </a:xfrm>
                          <a:prstGeom prst="rect">
                            <a:avLst/>
                          </a:prstGeom>
                          <a:noFill/>
                          <a:ln>
                            <a:noFill/>
                          </a:ln>
                        </pic:spPr>
                      </pic:pic>
                    </a:graphicData>
                  </a:graphic>
                </wp:inline>
              </w:drawing>
            </w:r>
          </w:p>
        </w:tc>
      </w:tr>
      <w:tr w:rsidR="006B6F53" w:rsidRPr="00224AA8" w14:paraId="029EB1F4" w14:textId="77777777" w:rsidTr="00594D14">
        <w:tc>
          <w:tcPr>
            <w:tcW w:w="1468" w:type="dxa"/>
            <w:shd w:val="clear" w:color="auto" w:fill="808080" w:themeFill="background1" w:themeFillShade="80"/>
          </w:tcPr>
          <w:p w14:paraId="732DD35C" w14:textId="77777777" w:rsidR="006B6F53" w:rsidRPr="000B5F84" w:rsidRDefault="006B6F53" w:rsidP="00594D14">
            <w:pPr>
              <w:rPr>
                <w:color w:val="FFFFFF" w:themeColor="background1"/>
                <w:lang w:val="en-US"/>
              </w:rPr>
            </w:pPr>
            <w:r w:rsidRPr="000B5F84">
              <w:rPr>
                <w:rFonts w:eastAsiaTheme="minorHAnsi"/>
                <w:b/>
                <w:bCs/>
                <w:color w:val="FFFFFF" w:themeColor="background1"/>
                <w:lang w:eastAsia="en-US"/>
              </w:rPr>
              <w:t>Number of types of notices received</w:t>
            </w:r>
          </w:p>
        </w:tc>
        <w:tc>
          <w:tcPr>
            <w:tcW w:w="1178" w:type="dxa"/>
            <w:shd w:val="clear" w:color="auto" w:fill="808080" w:themeFill="background1" w:themeFillShade="80"/>
          </w:tcPr>
          <w:p w14:paraId="40126BE7" w14:textId="77777777" w:rsidR="006B6F53" w:rsidRPr="000B5F84" w:rsidRDefault="006B6F53" w:rsidP="00594D14">
            <w:pPr>
              <w:rPr>
                <w:color w:val="FFFFFF" w:themeColor="background1"/>
                <w:lang w:val="en-US"/>
              </w:rPr>
            </w:pPr>
            <w:r w:rsidRPr="000B5F84">
              <w:rPr>
                <w:rFonts w:eastAsiaTheme="minorHAnsi"/>
                <w:b/>
                <w:bCs/>
                <w:color w:val="FFFFFF" w:themeColor="background1"/>
                <w:lang w:eastAsia="en-US"/>
              </w:rPr>
              <w:t>Number of clients</w:t>
            </w:r>
          </w:p>
        </w:tc>
        <w:tc>
          <w:tcPr>
            <w:tcW w:w="295" w:type="dxa"/>
            <w:tcBorders>
              <w:top w:val="nil"/>
              <w:bottom w:val="nil"/>
              <w:right w:val="nil"/>
            </w:tcBorders>
          </w:tcPr>
          <w:p w14:paraId="1DC263F2" w14:textId="77777777" w:rsidR="006B6F53" w:rsidRPr="00224AA8" w:rsidRDefault="006B6F53" w:rsidP="00594D14">
            <w:pPr>
              <w:rPr>
                <w:lang w:val="en-US"/>
              </w:rPr>
            </w:pPr>
          </w:p>
        </w:tc>
        <w:tc>
          <w:tcPr>
            <w:tcW w:w="5559" w:type="dxa"/>
            <w:vMerge/>
            <w:tcBorders>
              <w:top w:val="nil"/>
              <w:left w:val="nil"/>
              <w:bottom w:val="nil"/>
              <w:right w:val="nil"/>
            </w:tcBorders>
          </w:tcPr>
          <w:p w14:paraId="45810B63" w14:textId="77777777" w:rsidR="006B6F53" w:rsidRPr="00224AA8" w:rsidRDefault="006B6F53" w:rsidP="00594D14">
            <w:pPr>
              <w:rPr>
                <w:lang w:val="en-US"/>
              </w:rPr>
            </w:pPr>
          </w:p>
        </w:tc>
      </w:tr>
      <w:tr w:rsidR="006B6F53" w:rsidRPr="00224AA8" w14:paraId="0FDF0839" w14:textId="77777777" w:rsidTr="00594D14">
        <w:tc>
          <w:tcPr>
            <w:tcW w:w="1468" w:type="dxa"/>
          </w:tcPr>
          <w:p w14:paraId="1D1DA114" w14:textId="77777777" w:rsidR="006B6F53" w:rsidRPr="00224AA8" w:rsidRDefault="006B6F53" w:rsidP="00594D14">
            <w:pPr>
              <w:rPr>
                <w:lang w:val="en-US"/>
              </w:rPr>
            </w:pPr>
            <w:r w:rsidRPr="00224AA8">
              <w:rPr>
                <w:rFonts w:eastAsiaTheme="minorHAnsi"/>
                <w:lang w:eastAsia="en-US"/>
              </w:rPr>
              <w:t>1</w:t>
            </w:r>
          </w:p>
        </w:tc>
        <w:tc>
          <w:tcPr>
            <w:tcW w:w="1178" w:type="dxa"/>
          </w:tcPr>
          <w:p w14:paraId="14B94207" w14:textId="77777777" w:rsidR="006B6F53" w:rsidRPr="00224AA8" w:rsidRDefault="006B6F53" w:rsidP="00594D14">
            <w:pPr>
              <w:jc w:val="right"/>
              <w:rPr>
                <w:lang w:val="en-US"/>
              </w:rPr>
            </w:pPr>
            <w:r>
              <w:rPr>
                <w:rFonts w:cs="Arial"/>
              </w:rPr>
              <w:t>858</w:t>
            </w:r>
          </w:p>
        </w:tc>
        <w:tc>
          <w:tcPr>
            <w:tcW w:w="295" w:type="dxa"/>
            <w:tcBorders>
              <w:top w:val="nil"/>
              <w:bottom w:val="nil"/>
              <w:right w:val="nil"/>
            </w:tcBorders>
          </w:tcPr>
          <w:p w14:paraId="2226D525" w14:textId="77777777" w:rsidR="006B6F53" w:rsidRPr="00224AA8" w:rsidRDefault="006B6F53" w:rsidP="00594D14">
            <w:pPr>
              <w:rPr>
                <w:lang w:val="en-US"/>
              </w:rPr>
            </w:pPr>
          </w:p>
        </w:tc>
        <w:tc>
          <w:tcPr>
            <w:tcW w:w="5559" w:type="dxa"/>
            <w:vMerge/>
            <w:tcBorders>
              <w:top w:val="nil"/>
              <w:left w:val="nil"/>
              <w:bottom w:val="nil"/>
              <w:right w:val="nil"/>
            </w:tcBorders>
          </w:tcPr>
          <w:p w14:paraId="46CBB4AC" w14:textId="77777777" w:rsidR="006B6F53" w:rsidRPr="00224AA8" w:rsidRDefault="006B6F53" w:rsidP="00594D14">
            <w:pPr>
              <w:rPr>
                <w:lang w:val="en-US"/>
              </w:rPr>
            </w:pPr>
          </w:p>
        </w:tc>
      </w:tr>
      <w:tr w:rsidR="006B6F53" w:rsidRPr="00224AA8" w14:paraId="7C75EADE" w14:textId="77777777" w:rsidTr="00594D14">
        <w:tc>
          <w:tcPr>
            <w:tcW w:w="1468" w:type="dxa"/>
          </w:tcPr>
          <w:p w14:paraId="7A4B2F19" w14:textId="77777777" w:rsidR="006B6F53" w:rsidRPr="00224AA8" w:rsidRDefault="006B6F53" w:rsidP="00594D14">
            <w:pPr>
              <w:rPr>
                <w:lang w:val="en-US"/>
              </w:rPr>
            </w:pPr>
            <w:r w:rsidRPr="00224AA8">
              <w:rPr>
                <w:rFonts w:eastAsiaTheme="minorHAnsi"/>
                <w:lang w:eastAsia="en-US"/>
              </w:rPr>
              <w:t>2</w:t>
            </w:r>
          </w:p>
        </w:tc>
        <w:tc>
          <w:tcPr>
            <w:tcW w:w="1178" w:type="dxa"/>
          </w:tcPr>
          <w:p w14:paraId="315ABB5C" w14:textId="4F138815" w:rsidR="006B6F53" w:rsidRPr="00224AA8" w:rsidRDefault="006B6F53" w:rsidP="00594D14">
            <w:pPr>
              <w:jc w:val="right"/>
              <w:rPr>
                <w:lang w:val="en-US"/>
              </w:rPr>
            </w:pPr>
            <w:r>
              <w:rPr>
                <w:rFonts w:cs="Arial"/>
              </w:rPr>
              <w:t>21</w:t>
            </w:r>
            <w:r w:rsidR="00517644">
              <w:rPr>
                <w:rFonts w:cs="Arial"/>
              </w:rPr>
              <w:t>7</w:t>
            </w:r>
          </w:p>
        </w:tc>
        <w:tc>
          <w:tcPr>
            <w:tcW w:w="295" w:type="dxa"/>
            <w:tcBorders>
              <w:top w:val="nil"/>
              <w:bottom w:val="nil"/>
              <w:right w:val="nil"/>
            </w:tcBorders>
          </w:tcPr>
          <w:p w14:paraId="00D273D8" w14:textId="77777777" w:rsidR="006B6F53" w:rsidRPr="00224AA8" w:rsidRDefault="006B6F53" w:rsidP="00594D14">
            <w:pPr>
              <w:rPr>
                <w:lang w:val="en-US"/>
              </w:rPr>
            </w:pPr>
          </w:p>
        </w:tc>
        <w:tc>
          <w:tcPr>
            <w:tcW w:w="5559" w:type="dxa"/>
            <w:vMerge/>
            <w:tcBorders>
              <w:top w:val="nil"/>
              <w:left w:val="nil"/>
              <w:bottom w:val="nil"/>
              <w:right w:val="nil"/>
            </w:tcBorders>
          </w:tcPr>
          <w:p w14:paraId="24B2DA85" w14:textId="77777777" w:rsidR="006B6F53" w:rsidRPr="00224AA8" w:rsidRDefault="006B6F53" w:rsidP="00594D14">
            <w:pPr>
              <w:rPr>
                <w:lang w:val="en-US"/>
              </w:rPr>
            </w:pPr>
          </w:p>
        </w:tc>
      </w:tr>
      <w:tr w:rsidR="006B6F53" w:rsidRPr="00224AA8" w14:paraId="7313E670" w14:textId="77777777" w:rsidTr="00594D14">
        <w:tc>
          <w:tcPr>
            <w:tcW w:w="1468" w:type="dxa"/>
          </w:tcPr>
          <w:p w14:paraId="52C04816" w14:textId="77777777" w:rsidR="006B6F53" w:rsidRPr="00224AA8" w:rsidRDefault="006B6F53" w:rsidP="00594D14">
            <w:pPr>
              <w:rPr>
                <w:lang w:val="en-US"/>
              </w:rPr>
            </w:pPr>
            <w:r w:rsidRPr="00224AA8">
              <w:rPr>
                <w:rFonts w:eastAsiaTheme="minorHAnsi"/>
                <w:lang w:eastAsia="en-US"/>
              </w:rPr>
              <w:t>3</w:t>
            </w:r>
          </w:p>
        </w:tc>
        <w:tc>
          <w:tcPr>
            <w:tcW w:w="1178" w:type="dxa"/>
          </w:tcPr>
          <w:p w14:paraId="359A58C6" w14:textId="32A60303" w:rsidR="006B6F53" w:rsidRPr="00224AA8" w:rsidRDefault="006B6F53" w:rsidP="00594D14">
            <w:pPr>
              <w:jc w:val="right"/>
              <w:rPr>
                <w:lang w:val="en-US"/>
              </w:rPr>
            </w:pPr>
            <w:r>
              <w:rPr>
                <w:rFonts w:cs="Arial"/>
              </w:rPr>
              <w:t>6</w:t>
            </w:r>
            <w:r w:rsidR="00517644">
              <w:rPr>
                <w:rFonts w:cs="Arial"/>
              </w:rPr>
              <w:t>2</w:t>
            </w:r>
          </w:p>
        </w:tc>
        <w:tc>
          <w:tcPr>
            <w:tcW w:w="295" w:type="dxa"/>
            <w:tcBorders>
              <w:top w:val="nil"/>
              <w:bottom w:val="nil"/>
              <w:right w:val="nil"/>
            </w:tcBorders>
          </w:tcPr>
          <w:p w14:paraId="7D4C632A" w14:textId="77777777" w:rsidR="006B6F53" w:rsidRPr="00224AA8" w:rsidRDefault="006B6F53" w:rsidP="00594D14">
            <w:pPr>
              <w:rPr>
                <w:lang w:val="en-US"/>
              </w:rPr>
            </w:pPr>
          </w:p>
        </w:tc>
        <w:tc>
          <w:tcPr>
            <w:tcW w:w="5559" w:type="dxa"/>
            <w:vMerge/>
            <w:tcBorders>
              <w:top w:val="nil"/>
              <w:left w:val="nil"/>
              <w:bottom w:val="nil"/>
              <w:right w:val="nil"/>
            </w:tcBorders>
          </w:tcPr>
          <w:p w14:paraId="76854E25" w14:textId="77777777" w:rsidR="006B6F53" w:rsidRPr="00224AA8" w:rsidRDefault="006B6F53" w:rsidP="00594D14">
            <w:pPr>
              <w:rPr>
                <w:lang w:val="en-US"/>
              </w:rPr>
            </w:pPr>
          </w:p>
        </w:tc>
      </w:tr>
      <w:tr w:rsidR="006B6F53" w:rsidRPr="00224AA8" w14:paraId="671CFF58" w14:textId="77777777" w:rsidTr="00594D14">
        <w:trPr>
          <w:trHeight w:val="278"/>
        </w:trPr>
        <w:tc>
          <w:tcPr>
            <w:tcW w:w="1468" w:type="dxa"/>
          </w:tcPr>
          <w:p w14:paraId="5D7C4069" w14:textId="77777777" w:rsidR="006B6F53" w:rsidRPr="00224AA8" w:rsidRDefault="006B6F53" w:rsidP="00594D14">
            <w:pPr>
              <w:rPr>
                <w:lang w:val="en-US"/>
              </w:rPr>
            </w:pPr>
            <w:r w:rsidRPr="00224AA8">
              <w:rPr>
                <w:rFonts w:eastAsiaTheme="minorHAnsi"/>
                <w:lang w:eastAsia="en-US"/>
              </w:rPr>
              <w:t>4</w:t>
            </w:r>
          </w:p>
        </w:tc>
        <w:tc>
          <w:tcPr>
            <w:tcW w:w="1178" w:type="dxa"/>
          </w:tcPr>
          <w:p w14:paraId="02BFE160" w14:textId="77777777" w:rsidR="006B6F53" w:rsidRPr="00224AA8" w:rsidRDefault="006B6F53" w:rsidP="00594D14">
            <w:pPr>
              <w:jc w:val="right"/>
              <w:rPr>
                <w:lang w:val="en-US"/>
              </w:rPr>
            </w:pPr>
            <w:r>
              <w:rPr>
                <w:rFonts w:cs="Arial"/>
              </w:rPr>
              <w:t>6</w:t>
            </w:r>
          </w:p>
        </w:tc>
        <w:tc>
          <w:tcPr>
            <w:tcW w:w="295" w:type="dxa"/>
            <w:tcBorders>
              <w:top w:val="nil"/>
              <w:bottom w:val="nil"/>
              <w:right w:val="nil"/>
            </w:tcBorders>
          </w:tcPr>
          <w:p w14:paraId="1635E290" w14:textId="77777777" w:rsidR="006B6F53" w:rsidRPr="00224AA8" w:rsidRDefault="006B6F53" w:rsidP="00594D14">
            <w:pPr>
              <w:rPr>
                <w:lang w:val="en-US"/>
              </w:rPr>
            </w:pPr>
          </w:p>
        </w:tc>
        <w:tc>
          <w:tcPr>
            <w:tcW w:w="5559" w:type="dxa"/>
            <w:vMerge/>
            <w:tcBorders>
              <w:top w:val="nil"/>
              <w:left w:val="nil"/>
              <w:bottom w:val="single" w:sz="4" w:space="0" w:color="808080" w:themeColor="background1" w:themeShade="80"/>
              <w:right w:val="nil"/>
            </w:tcBorders>
          </w:tcPr>
          <w:p w14:paraId="2C417B1E" w14:textId="77777777" w:rsidR="006B6F53" w:rsidRPr="00224AA8" w:rsidRDefault="006B6F53" w:rsidP="00594D14">
            <w:pPr>
              <w:rPr>
                <w:lang w:val="en-US"/>
              </w:rPr>
            </w:pPr>
          </w:p>
        </w:tc>
      </w:tr>
      <w:tr w:rsidR="006B6F53" w:rsidRPr="00224AA8" w14:paraId="37A3A575" w14:textId="77777777" w:rsidTr="00594D14">
        <w:tc>
          <w:tcPr>
            <w:tcW w:w="1468" w:type="dxa"/>
          </w:tcPr>
          <w:p w14:paraId="5E7CBDD1" w14:textId="77777777" w:rsidR="006B6F53" w:rsidRPr="00224AA8" w:rsidRDefault="006B6F53" w:rsidP="00594D14">
            <w:pPr>
              <w:rPr>
                <w:lang w:val="en-US"/>
              </w:rPr>
            </w:pPr>
            <w:r w:rsidRPr="00224AA8">
              <w:rPr>
                <w:rFonts w:eastAsiaTheme="minorHAnsi"/>
                <w:lang w:eastAsia="en-US"/>
              </w:rPr>
              <w:t>5</w:t>
            </w:r>
          </w:p>
        </w:tc>
        <w:tc>
          <w:tcPr>
            <w:tcW w:w="1178" w:type="dxa"/>
          </w:tcPr>
          <w:p w14:paraId="728AD583" w14:textId="77777777" w:rsidR="006B6F53" w:rsidRPr="00224AA8" w:rsidRDefault="006B6F53" w:rsidP="00594D14">
            <w:pPr>
              <w:jc w:val="right"/>
              <w:rPr>
                <w:lang w:val="en-US"/>
              </w:rPr>
            </w:pPr>
            <w:r>
              <w:rPr>
                <w:rFonts w:cs="Arial"/>
              </w:rPr>
              <w:t>2</w:t>
            </w:r>
          </w:p>
        </w:tc>
        <w:tc>
          <w:tcPr>
            <w:tcW w:w="295" w:type="dxa"/>
            <w:tcBorders>
              <w:top w:val="nil"/>
              <w:bottom w:val="nil"/>
              <w:right w:val="single" w:sz="4" w:space="0" w:color="808080" w:themeColor="background1" w:themeShade="80"/>
            </w:tcBorders>
          </w:tcPr>
          <w:p w14:paraId="532DF395" w14:textId="77777777" w:rsidR="006B6F53" w:rsidRPr="00224AA8" w:rsidRDefault="006B6F53" w:rsidP="00594D14">
            <w:pPr>
              <w:rPr>
                <w:lang w:val="en-US"/>
              </w:rPr>
            </w:pPr>
          </w:p>
        </w:tc>
        <w:tc>
          <w:tcPr>
            <w:tcW w:w="555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24E671AC" w14:textId="77777777" w:rsidR="006B6F53" w:rsidRPr="000B5F84" w:rsidRDefault="006B6F53" w:rsidP="00594D14">
            <w:pPr>
              <w:spacing w:before="120" w:after="60" w:line="240" w:lineRule="auto"/>
              <w:rPr>
                <w:color w:val="FFFFFF" w:themeColor="background1"/>
                <w:lang w:val="en-US"/>
              </w:rPr>
            </w:pPr>
            <w:r w:rsidRPr="000B5F84">
              <w:rPr>
                <w:rFonts w:cs="Arial"/>
                <w:b/>
                <w:bCs/>
                <w:color w:val="FFFFFF" w:themeColor="background1"/>
                <w:sz w:val="17"/>
                <w:szCs w:val="17"/>
                <w:lang w:val="en-US"/>
              </w:rPr>
              <w:t xml:space="preserve">Graph 6: Client allocation based on single and multiple types of </w:t>
            </w:r>
            <w:r w:rsidRPr="000B5F84">
              <w:rPr>
                <w:rFonts w:cs="Arial"/>
                <w:b/>
                <w:bCs/>
                <w:color w:val="FFFFFF" w:themeColor="background1"/>
                <w:sz w:val="17"/>
                <w:szCs w:val="17"/>
                <w:lang w:val="en-US"/>
              </w:rPr>
              <w:br/>
            </w:r>
            <w:r w:rsidRPr="000B5F84">
              <w:rPr>
                <w:rFonts w:cs="Arial"/>
                <w:b/>
                <w:bCs/>
                <w:color w:val="FFFFFF" w:themeColor="background1"/>
                <w:sz w:val="17"/>
                <w:szCs w:val="17"/>
                <w:lang w:val="en-US"/>
              </w:rPr>
              <w:tab/>
              <w:t>notices 1 July 2024 to 30 June 2025</w:t>
            </w:r>
          </w:p>
        </w:tc>
      </w:tr>
      <w:tr w:rsidR="006B6F53" w:rsidRPr="00224AA8" w14:paraId="42A4EDAB" w14:textId="77777777" w:rsidTr="00594D14">
        <w:tc>
          <w:tcPr>
            <w:tcW w:w="1468" w:type="dxa"/>
          </w:tcPr>
          <w:p w14:paraId="1C0F4868" w14:textId="77777777" w:rsidR="006B6F53" w:rsidRPr="00224AA8" w:rsidRDefault="006B6F53" w:rsidP="00594D14">
            <w:pPr>
              <w:rPr>
                <w:lang w:val="en-US"/>
              </w:rPr>
            </w:pPr>
            <w:r w:rsidRPr="00224AA8">
              <w:rPr>
                <w:b/>
                <w:bCs/>
              </w:rPr>
              <w:t>Total</w:t>
            </w:r>
          </w:p>
        </w:tc>
        <w:tc>
          <w:tcPr>
            <w:tcW w:w="1178" w:type="dxa"/>
          </w:tcPr>
          <w:p w14:paraId="11597B86" w14:textId="77777777" w:rsidR="006B6F53" w:rsidRPr="00224AA8" w:rsidRDefault="006B6F53" w:rsidP="00594D14">
            <w:pPr>
              <w:jc w:val="right"/>
              <w:rPr>
                <w:lang w:val="en-US"/>
              </w:rPr>
            </w:pPr>
            <w:r>
              <w:rPr>
                <w:rFonts w:cs="Arial"/>
                <w:b/>
                <w:bCs/>
              </w:rPr>
              <w:t>1,145</w:t>
            </w:r>
          </w:p>
        </w:tc>
        <w:tc>
          <w:tcPr>
            <w:tcW w:w="295" w:type="dxa"/>
            <w:tcBorders>
              <w:top w:val="nil"/>
              <w:bottom w:val="nil"/>
              <w:right w:val="single" w:sz="4" w:space="0" w:color="808080" w:themeColor="background1" w:themeShade="80"/>
            </w:tcBorders>
          </w:tcPr>
          <w:p w14:paraId="30E490EF" w14:textId="77777777" w:rsidR="006B6F53" w:rsidRPr="00224AA8" w:rsidRDefault="006B6F53" w:rsidP="00594D14">
            <w:pPr>
              <w:rPr>
                <w:lang w:val="en-US"/>
              </w:rPr>
            </w:pPr>
          </w:p>
        </w:tc>
        <w:tc>
          <w:tcPr>
            <w:tcW w:w="5559" w:type="dxa"/>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4B98DEB7" w14:textId="77777777" w:rsidR="006B6F53" w:rsidRPr="00224AA8" w:rsidRDefault="006B6F53" w:rsidP="00594D14">
            <w:pPr>
              <w:rPr>
                <w:lang w:val="en-US"/>
              </w:rPr>
            </w:pPr>
          </w:p>
        </w:tc>
      </w:tr>
    </w:tbl>
    <w:p w14:paraId="4C3E9522" w14:textId="77777777" w:rsidR="006B6F53" w:rsidRPr="00224AA8" w:rsidRDefault="006B6F53" w:rsidP="006B6F53">
      <w:pPr>
        <w:rPr>
          <w:lang w:val="en-US"/>
        </w:rPr>
      </w:pPr>
    </w:p>
    <w:p w14:paraId="17EC154B" w14:textId="77777777" w:rsidR="006B6F53" w:rsidRPr="00224AA8" w:rsidRDefault="006B6F53" w:rsidP="006B6F53">
      <w:pPr>
        <w:rPr>
          <w:lang w:val="en-US"/>
        </w:rPr>
      </w:pPr>
      <w:r w:rsidRPr="00224AA8">
        <w:rPr>
          <w:lang w:val="en-US"/>
        </w:rPr>
        <w:t>Analysis reveals the following information regarding the types of sole notices received by FRC clients during the reporting period:</w:t>
      </w:r>
    </w:p>
    <w:p w14:paraId="56F98CDA" w14:textId="112F6DC7" w:rsidR="006B6F53" w:rsidRPr="00224AA8" w:rsidRDefault="006B6F53" w:rsidP="003277F4">
      <w:pPr>
        <w:pStyle w:val="ListParagraph"/>
        <w:numPr>
          <w:ilvl w:val="0"/>
          <w:numId w:val="20"/>
        </w:numPr>
        <w:tabs>
          <w:tab w:val="decimal" w:pos="720"/>
        </w:tabs>
        <w:spacing w:after="120" w:line="260" w:lineRule="exact"/>
        <w:ind w:left="714" w:hanging="357"/>
        <w:rPr>
          <w:lang w:val="en-US"/>
        </w:rPr>
      </w:pPr>
      <w:r>
        <w:rPr>
          <w:lang w:val="en-US"/>
        </w:rPr>
        <w:t>40</w:t>
      </w:r>
      <w:r w:rsidRPr="00224AA8">
        <w:rPr>
          <w:lang w:val="en-US"/>
        </w:rPr>
        <w:t xml:space="preserve">% received a </w:t>
      </w:r>
      <w:r w:rsidR="003D3881">
        <w:rPr>
          <w:lang w:val="en-US"/>
        </w:rPr>
        <w:t>S</w:t>
      </w:r>
      <w:r w:rsidRPr="00224AA8">
        <w:rPr>
          <w:lang w:val="en-US"/>
        </w:rPr>
        <w:t xml:space="preserve">chool </w:t>
      </w:r>
      <w:r w:rsidR="003D3881">
        <w:rPr>
          <w:lang w:val="en-US"/>
        </w:rPr>
        <w:t>A</w:t>
      </w:r>
      <w:r w:rsidRPr="00224AA8">
        <w:rPr>
          <w:lang w:val="en-US"/>
        </w:rPr>
        <w:t>ttendance (EQ) notice</w:t>
      </w:r>
    </w:p>
    <w:p w14:paraId="3E9D6049" w14:textId="77777777" w:rsidR="006B6F53" w:rsidRPr="00224AA8" w:rsidRDefault="006B6F53" w:rsidP="003277F4">
      <w:pPr>
        <w:pStyle w:val="ListParagraph"/>
        <w:numPr>
          <w:ilvl w:val="0"/>
          <w:numId w:val="20"/>
        </w:numPr>
        <w:tabs>
          <w:tab w:val="decimal" w:pos="720"/>
        </w:tabs>
        <w:spacing w:after="120" w:line="260" w:lineRule="exact"/>
        <w:ind w:left="714" w:hanging="357"/>
        <w:rPr>
          <w:lang w:val="en-US"/>
        </w:rPr>
      </w:pPr>
      <w:r w:rsidRPr="00224AA8">
        <w:rPr>
          <w:lang w:val="en-US"/>
        </w:rPr>
        <w:t>1</w:t>
      </w:r>
      <w:r>
        <w:rPr>
          <w:lang w:val="en-US"/>
        </w:rPr>
        <w:t>8</w:t>
      </w:r>
      <w:r w:rsidRPr="00224AA8">
        <w:rPr>
          <w:lang w:val="en-US"/>
        </w:rPr>
        <w:t>% received a Magistrate</w:t>
      </w:r>
      <w:r>
        <w:rPr>
          <w:lang w:val="en-US"/>
        </w:rPr>
        <w:t>s</w:t>
      </w:r>
      <w:r w:rsidRPr="00224AA8">
        <w:rPr>
          <w:lang w:val="en-US"/>
        </w:rPr>
        <w:t xml:space="preserve"> Court (MAG) notice</w:t>
      </w:r>
    </w:p>
    <w:p w14:paraId="3683A93C" w14:textId="2B37318E" w:rsidR="006B6F53" w:rsidRDefault="006B6F53" w:rsidP="003277F4">
      <w:pPr>
        <w:pStyle w:val="ListParagraph"/>
        <w:numPr>
          <w:ilvl w:val="0"/>
          <w:numId w:val="20"/>
        </w:numPr>
        <w:tabs>
          <w:tab w:val="decimal" w:pos="720"/>
        </w:tabs>
        <w:spacing w:after="120" w:line="260" w:lineRule="exact"/>
        <w:ind w:left="714" w:hanging="357"/>
        <w:rPr>
          <w:lang w:val="en-US"/>
        </w:rPr>
      </w:pPr>
      <w:r>
        <w:rPr>
          <w:lang w:val="en-US"/>
        </w:rPr>
        <w:t>8</w:t>
      </w:r>
      <w:r w:rsidRPr="00224AA8">
        <w:rPr>
          <w:lang w:val="en-US"/>
        </w:rPr>
        <w:t xml:space="preserve">% received a </w:t>
      </w:r>
      <w:r w:rsidR="003D3881">
        <w:rPr>
          <w:lang w:val="en-US"/>
        </w:rPr>
        <w:t>D</w:t>
      </w:r>
      <w:r w:rsidRPr="00224AA8">
        <w:rPr>
          <w:lang w:val="en-US"/>
        </w:rPr>
        <w:t xml:space="preserve">omestic </w:t>
      </w:r>
      <w:r w:rsidR="003D3881">
        <w:rPr>
          <w:lang w:val="en-US"/>
        </w:rPr>
        <w:t>V</w:t>
      </w:r>
      <w:r w:rsidRPr="00224AA8">
        <w:rPr>
          <w:lang w:val="en-US"/>
        </w:rPr>
        <w:t xml:space="preserve">iolence </w:t>
      </w:r>
      <w:r w:rsidR="003D3881">
        <w:rPr>
          <w:lang w:val="en-US"/>
        </w:rPr>
        <w:t>O</w:t>
      </w:r>
      <w:r w:rsidRPr="00224AA8">
        <w:rPr>
          <w:lang w:val="en-US"/>
        </w:rPr>
        <w:t>rder (DVO) notice</w:t>
      </w:r>
    </w:p>
    <w:p w14:paraId="74003F08" w14:textId="7E8F552F" w:rsidR="006B6F53" w:rsidRPr="00734230" w:rsidRDefault="006B6F53" w:rsidP="003277F4">
      <w:pPr>
        <w:pStyle w:val="ListParagraph"/>
        <w:numPr>
          <w:ilvl w:val="0"/>
          <w:numId w:val="20"/>
        </w:numPr>
        <w:tabs>
          <w:tab w:val="decimal" w:pos="720"/>
        </w:tabs>
        <w:spacing w:after="120" w:line="260" w:lineRule="exact"/>
        <w:ind w:left="714" w:hanging="357"/>
        <w:rPr>
          <w:lang w:val="en-US"/>
        </w:rPr>
      </w:pPr>
      <w:r>
        <w:rPr>
          <w:lang w:val="en-US"/>
        </w:rPr>
        <w:t>5</w:t>
      </w:r>
      <w:r w:rsidRPr="00224AA8">
        <w:rPr>
          <w:lang w:val="en-US"/>
        </w:rPr>
        <w:t xml:space="preserve">% received a </w:t>
      </w:r>
      <w:r w:rsidR="003D3881">
        <w:rPr>
          <w:lang w:val="en-US"/>
        </w:rPr>
        <w:t>C</w:t>
      </w:r>
      <w:r w:rsidRPr="00224AA8">
        <w:rPr>
          <w:lang w:val="en-US"/>
        </w:rPr>
        <w:t xml:space="preserve">hild </w:t>
      </w:r>
      <w:r w:rsidR="003D3881">
        <w:rPr>
          <w:lang w:val="en-US"/>
        </w:rPr>
        <w:t>S</w:t>
      </w:r>
      <w:r w:rsidRPr="00224AA8">
        <w:rPr>
          <w:lang w:val="en-US"/>
        </w:rPr>
        <w:t xml:space="preserve">afety and </w:t>
      </w:r>
      <w:r w:rsidR="003D3881">
        <w:rPr>
          <w:lang w:val="en-US"/>
        </w:rPr>
        <w:t>W</w:t>
      </w:r>
      <w:r w:rsidRPr="00224AA8">
        <w:rPr>
          <w:lang w:val="en-US"/>
        </w:rPr>
        <w:t>elfare (CS) notice</w:t>
      </w:r>
    </w:p>
    <w:p w14:paraId="487F06C0" w14:textId="5ECCFA05" w:rsidR="006B6F53" w:rsidRDefault="006B6F53" w:rsidP="003277F4">
      <w:pPr>
        <w:pStyle w:val="ListParagraph"/>
        <w:numPr>
          <w:ilvl w:val="0"/>
          <w:numId w:val="20"/>
        </w:numPr>
        <w:tabs>
          <w:tab w:val="decimal" w:pos="720"/>
        </w:tabs>
        <w:spacing w:after="120" w:line="260" w:lineRule="exact"/>
        <w:ind w:left="714" w:hanging="357"/>
        <w:rPr>
          <w:lang w:val="en-US"/>
        </w:rPr>
      </w:pPr>
      <w:r>
        <w:rPr>
          <w:lang w:val="en-US"/>
        </w:rPr>
        <w:t>1</w:t>
      </w:r>
      <w:r w:rsidRPr="00224AA8">
        <w:rPr>
          <w:lang w:val="en-US"/>
        </w:rPr>
        <w:t xml:space="preserve">% received a </w:t>
      </w:r>
      <w:r w:rsidR="003D3881">
        <w:rPr>
          <w:lang w:val="en-US"/>
        </w:rPr>
        <w:t>D</w:t>
      </w:r>
      <w:r w:rsidRPr="00224AA8">
        <w:rPr>
          <w:lang w:val="en-US"/>
        </w:rPr>
        <w:t xml:space="preserve">omestic </w:t>
      </w:r>
      <w:r w:rsidR="003D3881">
        <w:rPr>
          <w:lang w:val="en-US"/>
        </w:rPr>
        <w:t>V</w:t>
      </w:r>
      <w:r w:rsidRPr="00224AA8">
        <w:rPr>
          <w:lang w:val="en-US"/>
        </w:rPr>
        <w:t xml:space="preserve">iolence </w:t>
      </w:r>
      <w:r w:rsidR="003D3881">
        <w:rPr>
          <w:lang w:val="en-US"/>
        </w:rPr>
        <w:t>B</w:t>
      </w:r>
      <w:r w:rsidRPr="00224AA8">
        <w:rPr>
          <w:lang w:val="en-US"/>
        </w:rPr>
        <w:t>reach (DVB) notice</w:t>
      </w:r>
    </w:p>
    <w:p w14:paraId="4C32BC81" w14:textId="77777777" w:rsidR="006B6F53" w:rsidRPr="00224AA8" w:rsidRDefault="006B6F53" w:rsidP="003277F4">
      <w:pPr>
        <w:pStyle w:val="ListParagraph"/>
        <w:numPr>
          <w:ilvl w:val="0"/>
          <w:numId w:val="20"/>
        </w:numPr>
        <w:tabs>
          <w:tab w:val="decimal" w:pos="720"/>
        </w:tabs>
        <w:spacing w:after="120" w:line="260" w:lineRule="exact"/>
        <w:ind w:left="714" w:hanging="357"/>
        <w:rPr>
          <w:lang w:val="en-US"/>
        </w:rPr>
      </w:pPr>
      <w:r>
        <w:rPr>
          <w:lang w:val="en-US"/>
        </w:rPr>
        <w:t>1% received a Childrens Court (CHI) notice and</w:t>
      </w:r>
    </w:p>
    <w:p w14:paraId="51768903" w14:textId="77777777" w:rsidR="006B6F53" w:rsidRPr="00224AA8" w:rsidRDefault="006B6F53" w:rsidP="003277F4">
      <w:pPr>
        <w:pStyle w:val="ListParagraph"/>
        <w:numPr>
          <w:ilvl w:val="0"/>
          <w:numId w:val="20"/>
        </w:numPr>
        <w:tabs>
          <w:tab w:val="decimal" w:pos="720"/>
        </w:tabs>
        <w:spacing w:after="120" w:line="260" w:lineRule="exact"/>
        <w:ind w:left="714" w:hanging="357"/>
        <w:rPr>
          <w:lang w:val="en-US"/>
        </w:rPr>
      </w:pPr>
      <w:r>
        <w:rPr>
          <w:lang w:val="en-US"/>
        </w:rPr>
        <w:t>1</w:t>
      </w:r>
      <w:r w:rsidRPr="00224AA8">
        <w:rPr>
          <w:lang w:val="en-US"/>
        </w:rPr>
        <w:t>% received a District Court (DIS) notice.</w:t>
      </w:r>
    </w:p>
    <w:p w14:paraId="4B73245C" w14:textId="77777777" w:rsidR="006B6F53" w:rsidRDefault="006B6F53" w:rsidP="006B6F53">
      <w:pPr>
        <w:rPr>
          <w:lang w:val="en-US"/>
        </w:rPr>
      </w:pPr>
    </w:p>
    <w:p w14:paraId="186B7CCE" w14:textId="7A78639A" w:rsidR="000B5F84" w:rsidRPr="00224AA8" w:rsidRDefault="000B5F84" w:rsidP="000B5F84">
      <w:pPr>
        <w:rPr>
          <w:lang w:val="en-US"/>
        </w:rPr>
      </w:pPr>
      <w:r w:rsidRPr="00224AA8">
        <w:rPr>
          <w:lang w:val="en-US"/>
        </w:rPr>
        <w:t xml:space="preserve">The remaining sole notices received for Commission clients were </w:t>
      </w:r>
      <w:r>
        <w:rPr>
          <w:lang w:val="en-US"/>
        </w:rPr>
        <w:t>2</w:t>
      </w:r>
      <w:r w:rsidRPr="00224AA8">
        <w:rPr>
          <w:lang w:val="en-US"/>
        </w:rPr>
        <w:t xml:space="preserve"> client</w:t>
      </w:r>
      <w:r>
        <w:rPr>
          <w:lang w:val="en-US"/>
        </w:rPr>
        <w:t>s</w:t>
      </w:r>
      <w:r w:rsidRPr="00224AA8">
        <w:rPr>
          <w:lang w:val="en-US"/>
        </w:rPr>
        <w:t xml:space="preserve"> with a </w:t>
      </w:r>
      <w:r w:rsidR="003D3881">
        <w:rPr>
          <w:lang w:val="en-US"/>
        </w:rPr>
        <w:t>S</w:t>
      </w:r>
      <w:r w:rsidRPr="00224AA8">
        <w:rPr>
          <w:lang w:val="en-US"/>
        </w:rPr>
        <w:t xml:space="preserve">chool </w:t>
      </w:r>
      <w:r w:rsidR="003D3881">
        <w:rPr>
          <w:lang w:val="en-US"/>
        </w:rPr>
        <w:t>E</w:t>
      </w:r>
      <w:r w:rsidRPr="00224AA8">
        <w:rPr>
          <w:lang w:val="en-US"/>
        </w:rPr>
        <w:t xml:space="preserve">nrolment </w:t>
      </w:r>
      <w:r w:rsidR="003D3881">
        <w:rPr>
          <w:lang w:val="en-US"/>
        </w:rPr>
        <w:t>B</w:t>
      </w:r>
      <w:r w:rsidRPr="00224AA8">
        <w:rPr>
          <w:lang w:val="en-US"/>
        </w:rPr>
        <w:t xml:space="preserve">reach (SEN) notice and </w:t>
      </w:r>
      <w:r>
        <w:rPr>
          <w:lang w:val="en-US"/>
        </w:rPr>
        <w:t>4</w:t>
      </w:r>
      <w:r w:rsidRPr="00224AA8">
        <w:rPr>
          <w:lang w:val="en-US"/>
        </w:rPr>
        <w:t xml:space="preserve"> clients with a </w:t>
      </w:r>
      <w:r w:rsidR="003D3881">
        <w:rPr>
          <w:lang w:val="en-US"/>
        </w:rPr>
        <w:t>H</w:t>
      </w:r>
      <w:r w:rsidRPr="00224AA8">
        <w:rPr>
          <w:lang w:val="en-US"/>
        </w:rPr>
        <w:t xml:space="preserve">ousing </w:t>
      </w:r>
      <w:r w:rsidR="003D3881">
        <w:rPr>
          <w:lang w:val="en-US"/>
        </w:rPr>
        <w:t>Te</w:t>
      </w:r>
      <w:r w:rsidRPr="00224AA8">
        <w:rPr>
          <w:lang w:val="en-US"/>
        </w:rPr>
        <w:t xml:space="preserve">nancy </w:t>
      </w:r>
      <w:r w:rsidR="003D3881">
        <w:rPr>
          <w:lang w:val="en-US"/>
        </w:rPr>
        <w:t>B</w:t>
      </w:r>
      <w:r w:rsidRPr="00224AA8">
        <w:rPr>
          <w:lang w:val="en-US"/>
        </w:rPr>
        <w:t>reach (HT) notice.</w:t>
      </w:r>
    </w:p>
    <w:p w14:paraId="6E9FB310" w14:textId="77777777" w:rsidR="000B5F84" w:rsidRPr="00224AA8" w:rsidRDefault="000B5F84" w:rsidP="000B5F84">
      <w:pPr>
        <w:rPr>
          <w:lang w:val="en-US"/>
        </w:rPr>
      </w:pPr>
      <w:r w:rsidRPr="00224AA8">
        <w:rPr>
          <w:lang w:val="en-US"/>
        </w:rPr>
        <w:t xml:space="preserve">Additional insight into the complexity of issues faced by clients can be seen in the following table which shows the combination of notices received for the </w:t>
      </w:r>
      <w:r>
        <w:rPr>
          <w:lang w:val="en-US"/>
        </w:rPr>
        <w:t>287</w:t>
      </w:r>
      <w:r w:rsidRPr="00224AA8">
        <w:rPr>
          <w:lang w:val="en-US"/>
        </w:rPr>
        <w:t xml:space="preserve"> clients with more than one type of notice. </w:t>
      </w:r>
      <w:r w:rsidRPr="00224AA8">
        <w:t xml:space="preserve">One can see that predominantly there is a nexus between court convictions and domestic violence orders/breaches with education notices and child safety issues, </w:t>
      </w:r>
      <w:proofErr w:type="gramStart"/>
      <w:r w:rsidRPr="00224AA8">
        <w:t>and also</w:t>
      </w:r>
      <w:proofErr w:type="gramEnd"/>
      <w:r w:rsidRPr="00224AA8">
        <w:t xml:space="preserve"> a strong nexus between child safety issues and education notices.</w:t>
      </w:r>
    </w:p>
    <w:p w14:paraId="4FED9721" w14:textId="77777777" w:rsidR="006B6F53" w:rsidRPr="00224AA8" w:rsidRDefault="006B6F53" w:rsidP="006B6F53">
      <w:pPr>
        <w:rPr>
          <w:lang w:val="en-US"/>
        </w:rPr>
      </w:pPr>
    </w:p>
    <w:p w14:paraId="68CBA8C6" w14:textId="77777777" w:rsidR="006B6F53" w:rsidRPr="00BA3E9E" w:rsidRDefault="006B6F53" w:rsidP="006B6F53">
      <w:pPr>
        <w:rPr>
          <w:lang w:val="en-US"/>
        </w:rPr>
      </w:pPr>
      <w:r w:rsidRPr="00BA3E9E">
        <w:rPr>
          <w:lang w:val="en-US"/>
        </w:rPr>
        <w:br w:type="page"/>
      </w:r>
    </w:p>
    <w:p w14:paraId="6816A153" w14:textId="77777777" w:rsidR="006B6F53" w:rsidRPr="00224AA8" w:rsidRDefault="006B6F53" w:rsidP="006B6F53">
      <w:pPr>
        <w:ind w:left="720" w:hanging="720"/>
        <w:rPr>
          <w:rFonts w:cs="Arial"/>
          <w:b/>
          <w:bCs/>
          <w:szCs w:val="20"/>
          <w:lang w:val="en-US"/>
        </w:rPr>
      </w:pPr>
      <w:r w:rsidRPr="00224AA8">
        <w:rPr>
          <w:rFonts w:cs="Arial"/>
          <w:b/>
          <w:bCs/>
          <w:sz w:val="17"/>
          <w:szCs w:val="17"/>
          <w:lang w:val="en-US"/>
        </w:rPr>
        <w:lastRenderedPageBreak/>
        <w:t>Table 5: FRC clients by number of types of notices 1 July 202</w:t>
      </w:r>
      <w:r>
        <w:rPr>
          <w:rFonts w:cs="Arial"/>
          <w:b/>
          <w:bCs/>
          <w:sz w:val="17"/>
          <w:szCs w:val="17"/>
          <w:lang w:val="en-US"/>
        </w:rPr>
        <w:t>4</w:t>
      </w:r>
      <w:r w:rsidRPr="00224AA8">
        <w:rPr>
          <w:rFonts w:cs="Arial"/>
          <w:b/>
          <w:bCs/>
          <w:sz w:val="17"/>
          <w:szCs w:val="17"/>
          <w:lang w:val="en-US"/>
        </w:rPr>
        <w:t xml:space="preserve"> to 30 June 202</w:t>
      </w:r>
      <w:r>
        <w:rPr>
          <w:rFonts w:cs="Arial"/>
          <w:b/>
          <w:bCs/>
          <w:sz w:val="17"/>
          <w:szCs w:val="17"/>
          <w:lang w:val="en-US"/>
        </w:rPr>
        <w:t>5</w:t>
      </w:r>
    </w:p>
    <w:tbl>
      <w:tblPr>
        <w:tblW w:w="85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89"/>
        <w:gridCol w:w="1394"/>
        <w:gridCol w:w="415"/>
        <w:gridCol w:w="2608"/>
        <w:gridCol w:w="1394"/>
      </w:tblGrid>
      <w:tr w:rsidR="006B6F53" w:rsidRPr="00224AA8" w14:paraId="48B7D8CD" w14:textId="77777777" w:rsidTr="00594D14">
        <w:trPr>
          <w:trHeight w:val="655"/>
        </w:trPr>
        <w:tc>
          <w:tcPr>
            <w:tcW w:w="2689" w:type="dxa"/>
            <w:shd w:val="clear" w:color="auto" w:fill="808080" w:themeFill="background1" w:themeFillShade="80"/>
            <w:noWrap/>
            <w:hideMark/>
          </w:tcPr>
          <w:p w14:paraId="4737CE7C" w14:textId="77777777" w:rsidR="006B6F53" w:rsidRPr="00224AA8" w:rsidRDefault="006B6F53" w:rsidP="00594D14">
            <w:pPr>
              <w:spacing w:before="60" w:after="60"/>
              <w:rPr>
                <w:b/>
                <w:bCs/>
                <w:color w:val="FFFFFF" w:themeColor="background1"/>
                <w:lang w:val="en-US"/>
              </w:rPr>
            </w:pPr>
            <w:r w:rsidRPr="00224AA8">
              <w:rPr>
                <w:b/>
                <w:bCs/>
                <w:color w:val="FFFFFF" w:themeColor="background1"/>
                <w:lang w:val="en-US"/>
              </w:rPr>
              <w:t>Type of notice/s</w:t>
            </w:r>
            <w:bookmarkStart w:id="3" w:name="_Ref82176337"/>
            <w:r w:rsidRPr="00224AA8">
              <w:rPr>
                <w:rStyle w:val="FootnoteReference"/>
                <w:bCs/>
                <w:color w:val="FFFFFF" w:themeColor="background1"/>
                <w:lang w:val="en-US"/>
              </w:rPr>
              <w:footnoteReference w:id="3"/>
            </w:r>
            <w:bookmarkEnd w:id="3"/>
          </w:p>
        </w:tc>
        <w:tc>
          <w:tcPr>
            <w:tcW w:w="1394" w:type="dxa"/>
            <w:shd w:val="clear" w:color="auto" w:fill="808080" w:themeFill="background1" w:themeFillShade="80"/>
            <w:hideMark/>
          </w:tcPr>
          <w:p w14:paraId="42F94303" w14:textId="77777777" w:rsidR="006B6F53" w:rsidRPr="00224AA8" w:rsidRDefault="006B6F53" w:rsidP="00594D14">
            <w:pPr>
              <w:spacing w:before="60" w:after="60"/>
              <w:jc w:val="center"/>
              <w:rPr>
                <w:b/>
                <w:bCs/>
                <w:color w:val="FFFFFF" w:themeColor="background1"/>
                <w:lang w:val="en-US"/>
              </w:rPr>
            </w:pPr>
            <w:r w:rsidRPr="00224AA8">
              <w:rPr>
                <w:b/>
                <w:bCs/>
                <w:color w:val="FFFFFF" w:themeColor="background1"/>
                <w:lang w:val="en-US"/>
              </w:rPr>
              <w:t>Number of clients</w:t>
            </w:r>
          </w:p>
        </w:tc>
        <w:tc>
          <w:tcPr>
            <w:tcW w:w="415" w:type="dxa"/>
            <w:tcBorders>
              <w:top w:val="nil"/>
              <w:bottom w:val="nil"/>
            </w:tcBorders>
          </w:tcPr>
          <w:p w14:paraId="6F8CAD5E" w14:textId="77777777" w:rsidR="006B6F53" w:rsidRPr="00224AA8" w:rsidRDefault="006B6F53" w:rsidP="00594D14">
            <w:pPr>
              <w:spacing w:before="60" w:after="60"/>
              <w:rPr>
                <w:b/>
                <w:bCs/>
                <w:color w:val="FFFFFF" w:themeColor="background1"/>
                <w:lang w:val="en-US"/>
              </w:rPr>
            </w:pPr>
          </w:p>
        </w:tc>
        <w:tc>
          <w:tcPr>
            <w:tcW w:w="2608" w:type="dxa"/>
            <w:shd w:val="clear" w:color="auto" w:fill="808080" w:themeFill="background1" w:themeFillShade="80"/>
          </w:tcPr>
          <w:p w14:paraId="02E3E2D7" w14:textId="10EA89D3" w:rsidR="006B6F53" w:rsidRPr="00224AA8" w:rsidRDefault="006B6F53" w:rsidP="00594D14">
            <w:pPr>
              <w:spacing w:before="60" w:after="60"/>
              <w:rPr>
                <w:b/>
                <w:bCs/>
                <w:color w:val="FFFFFF" w:themeColor="background1"/>
                <w:lang w:val="en-US"/>
              </w:rPr>
            </w:pPr>
            <w:r w:rsidRPr="00224AA8">
              <w:rPr>
                <w:b/>
                <w:bCs/>
                <w:color w:val="FFFFFF" w:themeColor="background1"/>
                <w:lang w:val="en-US"/>
              </w:rPr>
              <w:t>Type of notice/s</w:t>
            </w:r>
            <w:r w:rsidRPr="00224AA8">
              <w:rPr>
                <w:b/>
                <w:bCs/>
                <w:color w:val="FFFFFF" w:themeColor="background1"/>
                <w:vertAlign w:val="superscript"/>
                <w:lang w:val="en-US"/>
              </w:rPr>
              <w:fldChar w:fldCharType="begin"/>
            </w:r>
            <w:r w:rsidRPr="00224AA8">
              <w:rPr>
                <w:b/>
                <w:bCs/>
                <w:color w:val="FFFFFF" w:themeColor="background1"/>
                <w:vertAlign w:val="superscript"/>
                <w:lang w:val="en-US"/>
              </w:rPr>
              <w:instrText xml:space="preserve"> NOTEREF _Ref82176337 \h  \* MERGEFORMAT </w:instrText>
            </w:r>
            <w:r w:rsidRPr="00224AA8">
              <w:rPr>
                <w:b/>
                <w:bCs/>
                <w:color w:val="FFFFFF" w:themeColor="background1"/>
                <w:vertAlign w:val="superscript"/>
                <w:lang w:val="en-US"/>
              </w:rPr>
            </w:r>
            <w:r w:rsidRPr="00224AA8">
              <w:rPr>
                <w:b/>
                <w:bCs/>
                <w:color w:val="FFFFFF" w:themeColor="background1"/>
                <w:vertAlign w:val="superscript"/>
                <w:lang w:val="en-US"/>
              </w:rPr>
              <w:fldChar w:fldCharType="separate"/>
            </w:r>
            <w:r w:rsidR="0065395F">
              <w:rPr>
                <w:b/>
                <w:bCs/>
                <w:color w:val="FFFFFF" w:themeColor="background1"/>
                <w:vertAlign w:val="superscript"/>
                <w:lang w:val="en-US"/>
              </w:rPr>
              <w:t>3</w:t>
            </w:r>
            <w:r w:rsidRPr="00224AA8">
              <w:rPr>
                <w:b/>
                <w:bCs/>
                <w:color w:val="FFFFFF" w:themeColor="background1"/>
                <w:vertAlign w:val="superscript"/>
                <w:lang w:val="en-US"/>
              </w:rPr>
              <w:fldChar w:fldCharType="end"/>
            </w:r>
          </w:p>
        </w:tc>
        <w:tc>
          <w:tcPr>
            <w:tcW w:w="1394" w:type="dxa"/>
            <w:shd w:val="clear" w:color="auto" w:fill="808080" w:themeFill="background1" w:themeFillShade="80"/>
          </w:tcPr>
          <w:p w14:paraId="7B8216F6" w14:textId="77777777" w:rsidR="006B6F53" w:rsidRPr="00224AA8" w:rsidRDefault="006B6F53" w:rsidP="00594D14">
            <w:pPr>
              <w:spacing w:before="60" w:after="60"/>
              <w:jc w:val="center"/>
              <w:rPr>
                <w:b/>
                <w:bCs/>
                <w:color w:val="FFFFFF" w:themeColor="background1"/>
                <w:lang w:val="en-US"/>
              </w:rPr>
            </w:pPr>
            <w:r w:rsidRPr="00224AA8">
              <w:rPr>
                <w:b/>
                <w:bCs/>
                <w:color w:val="FFFFFF" w:themeColor="background1"/>
                <w:lang w:val="en-US"/>
              </w:rPr>
              <w:t>Number of clients</w:t>
            </w:r>
          </w:p>
        </w:tc>
      </w:tr>
      <w:tr w:rsidR="00DB2EDF" w:rsidRPr="00224AA8" w14:paraId="6410D2F8" w14:textId="77777777" w:rsidTr="00594D14">
        <w:trPr>
          <w:trHeight w:val="300"/>
        </w:trPr>
        <w:tc>
          <w:tcPr>
            <w:tcW w:w="2689" w:type="dxa"/>
            <w:vAlign w:val="bottom"/>
          </w:tcPr>
          <w:p w14:paraId="5004FD93" w14:textId="07ECF2F0" w:rsidR="00DB2EDF" w:rsidRPr="00DE4140" w:rsidRDefault="00DB2EDF" w:rsidP="00DB2EDF">
            <w:pPr>
              <w:spacing w:before="60" w:after="60"/>
              <w:rPr>
                <w:rFonts w:cs="Arial"/>
                <w:szCs w:val="20"/>
                <w:lang w:val="en-US"/>
              </w:rPr>
            </w:pPr>
            <w:r w:rsidRPr="007E43F3">
              <w:rPr>
                <w:rFonts w:cs="Arial"/>
                <w:szCs w:val="20"/>
              </w:rPr>
              <w:t>CHI,CS,DVO</w:t>
            </w:r>
          </w:p>
        </w:tc>
        <w:tc>
          <w:tcPr>
            <w:tcW w:w="1394" w:type="dxa"/>
            <w:vAlign w:val="bottom"/>
          </w:tcPr>
          <w:p w14:paraId="6A80C6B8" w14:textId="6D509212" w:rsidR="00DB2EDF" w:rsidRPr="00DE4140" w:rsidRDefault="00DB2EDF" w:rsidP="00DB2EDF">
            <w:pPr>
              <w:spacing w:before="60" w:after="60"/>
              <w:jc w:val="right"/>
              <w:rPr>
                <w:rFonts w:cs="Arial"/>
                <w:szCs w:val="20"/>
                <w:lang w:val="en-US"/>
              </w:rPr>
            </w:pPr>
            <w:r w:rsidRPr="00DE4140">
              <w:rPr>
                <w:rFonts w:cs="Arial"/>
                <w:szCs w:val="20"/>
              </w:rPr>
              <w:t>1</w:t>
            </w:r>
          </w:p>
        </w:tc>
        <w:tc>
          <w:tcPr>
            <w:tcW w:w="415" w:type="dxa"/>
            <w:tcBorders>
              <w:top w:val="nil"/>
              <w:bottom w:val="nil"/>
            </w:tcBorders>
          </w:tcPr>
          <w:p w14:paraId="69546445" w14:textId="77777777" w:rsidR="00DB2EDF" w:rsidRPr="00224AA8" w:rsidRDefault="00DB2EDF" w:rsidP="00DB2EDF">
            <w:pPr>
              <w:spacing w:before="60" w:after="60"/>
              <w:rPr>
                <w:rFonts w:cs="Arial"/>
                <w:szCs w:val="20"/>
                <w:lang w:val="en-US"/>
              </w:rPr>
            </w:pPr>
          </w:p>
        </w:tc>
        <w:tc>
          <w:tcPr>
            <w:tcW w:w="2608" w:type="dxa"/>
            <w:vAlign w:val="bottom"/>
          </w:tcPr>
          <w:p w14:paraId="6597ACB1" w14:textId="000E10F4" w:rsidR="00DB2EDF" w:rsidRPr="00DE4140" w:rsidRDefault="00DB2EDF" w:rsidP="00DB2EDF">
            <w:pPr>
              <w:spacing w:before="60" w:after="60"/>
              <w:rPr>
                <w:rFonts w:cs="Arial"/>
                <w:szCs w:val="20"/>
                <w:lang w:val="en-US"/>
              </w:rPr>
            </w:pPr>
            <w:r w:rsidRPr="007E43F3">
              <w:rPr>
                <w:rFonts w:cs="Arial"/>
                <w:szCs w:val="20"/>
              </w:rPr>
              <w:t>CS,HT</w:t>
            </w:r>
          </w:p>
        </w:tc>
        <w:tc>
          <w:tcPr>
            <w:tcW w:w="1394" w:type="dxa"/>
            <w:vAlign w:val="bottom"/>
          </w:tcPr>
          <w:p w14:paraId="06C8E549" w14:textId="27BBC227" w:rsidR="00DB2EDF" w:rsidRPr="00DE4140" w:rsidRDefault="00DB2EDF" w:rsidP="00DB2EDF">
            <w:pPr>
              <w:spacing w:before="60" w:after="60"/>
              <w:jc w:val="right"/>
              <w:rPr>
                <w:rFonts w:cs="Arial"/>
                <w:szCs w:val="20"/>
                <w:lang w:val="en-US"/>
              </w:rPr>
            </w:pPr>
            <w:r w:rsidRPr="00DE4140">
              <w:rPr>
                <w:rFonts w:cs="Arial"/>
                <w:szCs w:val="20"/>
              </w:rPr>
              <w:t>1</w:t>
            </w:r>
          </w:p>
        </w:tc>
      </w:tr>
      <w:tr w:rsidR="00DB2EDF" w:rsidRPr="00224AA8" w14:paraId="066A6176" w14:textId="77777777" w:rsidTr="00594D14">
        <w:trPr>
          <w:trHeight w:val="300"/>
        </w:trPr>
        <w:tc>
          <w:tcPr>
            <w:tcW w:w="2689" w:type="dxa"/>
            <w:vAlign w:val="bottom"/>
          </w:tcPr>
          <w:p w14:paraId="747A6FCC" w14:textId="43BE535C" w:rsidR="00DB2EDF" w:rsidRPr="00DE4140" w:rsidRDefault="00DB2EDF" w:rsidP="00DB2EDF">
            <w:pPr>
              <w:spacing w:before="60" w:after="60"/>
              <w:rPr>
                <w:rFonts w:cs="Arial"/>
                <w:szCs w:val="20"/>
                <w:lang w:val="en-US"/>
              </w:rPr>
            </w:pPr>
            <w:r w:rsidRPr="007E43F3">
              <w:rPr>
                <w:rFonts w:cs="Arial"/>
                <w:szCs w:val="20"/>
              </w:rPr>
              <w:t>CHI,CS,DVO,EQ,MAG</w:t>
            </w:r>
          </w:p>
        </w:tc>
        <w:tc>
          <w:tcPr>
            <w:tcW w:w="1394" w:type="dxa"/>
            <w:vAlign w:val="bottom"/>
          </w:tcPr>
          <w:p w14:paraId="181FE10B" w14:textId="07113082" w:rsidR="00DB2EDF" w:rsidRPr="00DE4140" w:rsidRDefault="00DB2EDF" w:rsidP="00DB2EDF">
            <w:pPr>
              <w:spacing w:before="60" w:after="60"/>
              <w:jc w:val="right"/>
              <w:rPr>
                <w:rFonts w:cs="Arial"/>
                <w:szCs w:val="20"/>
                <w:lang w:val="en-US"/>
              </w:rPr>
            </w:pPr>
            <w:r w:rsidRPr="00DE4140">
              <w:rPr>
                <w:rFonts w:cs="Arial"/>
                <w:szCs w:val="20"/>
              </w:rPr>
              <w:t>1</w:t>
            </w:r>
          </w:p>
        </w:tc>
        <w:tc>
          <w:tcPr>
            <w:tcW w:w="415" w:type="dxa"/>
            <w:tcBorders>
              <w:top w:val="nil"/>
              <w:bottom w:val="nil"/>
            </w:tcBorders>
          </w:tcPr>
          <w:p w14:paraId="1A092742" w14:textId="77777777" w:rsidR="00DB2EDF" w:rsidRPr="00224AA8" w:rsidRDefault="00DB2EDF" w:rsidP="00DB2EDF">
            <w:pPr>
              <w:spacing w:before="60" w:after="60"/>
              <w:rPr>
                <w:rFonts w:cs="Arial"/>
                <w:szCs w:val="20"/>
                <w:lang w:val="en-US"/>
              </w:rPr>
            </w:pPr>
          </w:p>
        </w:tc>
        <w:tc>
          <w:tcPr>
            <w:tcW w:w="2608" w:type="dxa"/>
            <w:vAlign w:val="bottom"/>
          </w:tcPr>
          <w:p w14:paraId="6C33D4A8" w14:textId="4BA099C9" w:rsidR="00DB2EDF" w:rsidRPr="00DE4140" w:rsidRDefault="00DB2EDF" w:rsidP="00DB2EDF">
            <w:pPr>
              <w:spacing w:before="60" w:after="60"/>
              <w:rPr>
                <w:rFonts w:cs="Arial"/>
                <w:szCs w:val="20"/>
                <w:lang w:val="en-US"/>
              </w:rPr>
            </w:pPr>
            <w:r w:rsidRPr="007E43F3">
              <w:rPr>
                <w:rFonts w:cs="Arial"/>
                <w:szCs w:val="20"/>
              </w:rPr>
              <w:t>CS,MAG</w:t>
            </w:r>
          </w:p>
        </w:tc>
        <w:tc>
          <w:tcPr>
            <w:tcW w:w="1394" w:type="dxa"/>
            <w:vAlign w:val="bottom"/>
          </w:tcPr>
          <w:p w14:paraId="1B722E64" w14:textId="71A7599C" w:rsidR="00DB2EDF" w:rsidRPr="00DE4140" w:rsidRDefault="00DB2EDF" w:rsidP="00DB2EDF">
            <w:pPr>
              <w:spacing w:before="60" w:after="60"/>
              <w:jc w:val="right"/>
              <w:rPr>
                <w:rFonts w:cs="Arial"/>
                <w:szCs w:val="20"/>
                <w:lang w:val="en-US"/>
              </w:rPr>
            </w:pPr>
            <w:r w:rsidRPr="00DE4140">
              <w:rPr>
                <w:rFonts w:cs="Arial"/>
                <w:szCs w:val="20"/>
              </w:rPr>
              <w:t>8</w:t>
            </w:r>
          </w:p>
        </w:tc>
      </w:tr>
      <w:tr w:rsidR="00DB2EDF" w:rsidRPr="00224AA8" w14:paraId="44CDA430" w14:textId="77777777" w:rsidTr="00594D14">
        <w:trPr>
          <w:trHeight w:val="300"/>
        </w:trPr>
        <w:tc>
          <w:tcPr>
            <w:tcW w:w="2689" w:type="dxa"/>
            <w:vAlign w:val="bottom"/>
          </w:tcPr>
          <w:p w14:paraId="3A29A902" w14:textId="0E601CE2" w:rsidR="00DB2EDF" w:rsidRPr="00DE4140" w:rsidRDefault="00DB2EDF" w:rsidP="00DB2EDF">
            <w:pPr>
              <w:spacing w:before="60" w:after="60"/>
              <w:rPr>
                <w:rFonts w:cs="Arial"/>
                <w:szCs w:val="20"/>
                <w:lang w:val="en-US"/>
              </w:rPr>
            </w:pPr>
            <w:r w:rsidRPr="007E43F3">
              <w:rPr>
                <w:rFonts w:cs="Arial"/>
                <w:szCs w:val="20"/>
              </w:rPr>
              <w:t>CHI,CS,EQ</w:t>
            </w:r>
          </w:p>
        </w:tc>
        <w:tc>
          <w:tcPr>
            <w:tcW w:w="1394" w:type="dxa"/>
            <w:vAlign w:val="bottom"/>
          </w:tcPr>
          <w:p w14:paraId="6B4593F5" w14:textId="0798BE39" w:rsidR="00DB2EDF" w:rsidRPr="00DE4140" w:rsidRDefault="00DB2EDF" w:rsidP="00DB2EDF">
            <w:pPr>
              <w:spacing w:before="60" w:after="60"/>
              <w:jc w:val="right"/>
              <w:rPr>
                <w:rFonts w:cs="Arial"/>
                <w:szCs w:val="20"/>
                <w:lang w:val="en-US"/>
              </w:rPr>
            </w:pPr>
            <w:r w:rsidRPr="00DE4140">
              <w:rPr>
                <w:rFonts w:cs="Arial"/>
                <w:szCs w:val="20"/>
              </w:rPr>
              <w:t>1</w:t>
            </w:r>
          </w:p>
        </w:tc>
        <w:tc>
          <w:tcPr>
            <w:tcW w:w="415" w:type="dxa"/>
            <w:tcBorders>
              <w:top w:val="nil"/>
              <w:bottom w:val="nil"/>
            </w:tcBorders>
          </w:tcPr>
          <w:p w14:paraId="6749FCDC" w14:textId="77777777" w:rsidR="00DB2EDF" w:rsidRPr="00224AA8" w:rsidRDefault="00DB2EDF" w:rsidP="00DB2EDF">
            <w:pPr>
              <w:spacing w:before="60" w:after="60"/>
              <w:rPr>
                <w:rFonts w:cs="Arial"/>
                <w:szCs w:val="20"/>
                <w:lang w:val="en-US"/>
              </w:rPr>
            </w:pPr>
          </w:p>
        </w:tc>
        <w:tc>
          <w:tcPr>
            <w:tcW w:w="2608" w:type="dxa"/>
            <w:vAlign w:val="bottom"/>
          </w:tcPr>
          <w:p w14:paraId="1C7682A1" w14:textId="19154F83" w:rsidR="00DB2EDF" w:rsidRPr="00DE4140" w:rsidRDefault="00DB2EDF" w:rsidP="00DB2EDF">
            <w:pPr>
              <w:spacing w:before="60" w:after="60"/>
              <w:rPr>
                <w:rFonts w:cs="Arial"/>
                <w:szCs w:val="20"/>
                <w:lang w:val="en-US"/>
              </w:rPr>
            </w:pPr>
            <w:r w:rsidRPr="007E43F3">
              <w:rPr>
                <w:rFonts w:cs="Arial"/>
                <w:szCs w:val="20"/>
              </w:rPr>
              <w:t>DIS,DVB</w:t>
            </w:r>
          </w:p>
        </w:tc>
        <w:tc>
          <w:tcPr>
            <w:tcW w:w="1394" w:type="dxa"/>
            <w:vAlign w:val="bottom"/>
          </w:tcPr>
          <w:p w14:paraId="097E13E3" w14:textId="22AACCA2" w:rsidR="00DB2EDF" w:rsidRPr="00DE4140" w:rsidRDefault="00DB2EDF" w:rsidP="00DB2EDF">
            <w:pPr>
              <w:spacing w:before="60" w:after="60"/>
              <w:jc w:val="right"/>
              <w:rPr>
                <w:rFonts w:cs="Arial"/>
                <w:szCs w:val="20"/>
                <w:lang w:val="en-US"/>
              </w:rPr>
            </w:pPr>
            <w:r w:rsidRPr="00DE4140">
              <w:rPr>
                <w:rFonts w:cs="Arial"/>
                <w:szCs w:val="20"/>
              </w:rPr>
              <w:t>2</w:t>
            </w:r>
          </w:p>
        </w:tc>
      </w:tr>
      <w:tr w:rsidR="00DB2EDF" w:rsidRPr="00224AA8" w14:paraId="3BECE898" w14:textId="77777777" w:rsidTr="00594D14">
        <w:trPr>
          <w:trHeight w:val="300"/>
        </w:trPr>
        <w:tc>
          <w:tcPr>
            <w:tcW w:w="2689" w:type="dxa"/>
            <w:vAlign w:val="bottom"/>
          </w:tcPr>
          <w:p w14:paraId="20208C2C" w14:textId="7996C378" w:rsidR="00DB2EDF" w:rsidRPr="00DE4140" w:rsidRDefault="00DB2EDF" w:rsidP="00DB2EDF">
            <w:pPr>
              <w:spacing w:before="60" w:after="60"/>
              <w:rPr>
                <w:rFonts w:cs="Arial"/>
                <w:szCs w:val="20"/>
                <w:lang w:val="en-US"/>
              </w:rPr>
            </w:pPr>
            <w:r w:rsidRPr="007E43F3">
              <w:rPr>
                <w:rFonts w:cs="Arial"/>
                <w:szCs w:val="20"/>
              </w:rPr>
              <w:t>CHI,CS,MAG</w:t>
            </w:r>
          </w:p>
        </w:tc>
        <w:tc>
          <w:tcPr>
            <w:tcW w:w="1394" w:type="dxa"/>
            <w:vAlign w:val="bottom"/>
          </w:tcPr>
          <w:p w14:paraId="1BAE3972" w14:textId="4F7ADFA6" w:rsidR="00DB2EDF" w:rsidRPr="00DE4140" w:rsidRDefault="00DB2EDF" w:rsidP="00DB2EDF">
            <w:pPr>
              <w:spacing w:before="60" w:after="60"/>
              <w:jc w:val="right"/>
              <w:rPr>
                <w:rFonts w:cs="Arial"/>
                <w:szCs w:val="20"/>
                <w:lang w:val="en-US"/>
              </w:rPr>
            </w:pPr>
            <w:r w:rsidRPr="00DE4140">
              <w:rPr>
                <w:rFonts w:cs="Arial"/>
                <w:szCs w:val="20"/>
              </w:rPr>
              <w:t>1</w:t>
            </w:r>
          </w:p>
        </w:tc>
        <w:tc>
          <w:tcPr>
            <w:tcW w:w="415" w:type="dxa"/>
            <w:tcBorders>
              <w:top w:val="nil"/>
              <w:bottom w:val="nil"/>
            </w:tcBorders>
          </w:tcPr>
          <w:p w14:paraId="05DE8C81" w14:textId="77777777" w:rsidR="00DB2EDF" w:rsidRPr="00224AA8" w:rsidRDefault="00DB2EDF" w:rsidP="00DB2EDF">
            <w:pPr>
              <w:spacing w:before="60" w:after="60"/>
              <w:rPr>
                <w:rFonts w:cs="Arial"/>
                <w:szCs w:val="20"/>
                <w:lang w:val="en-US"/>
              </w:rPr>
            </w:pPr>
          </w:p>
        </w:tc>
        <w:tc>
          <w:tcPr>
            <w:tcW w:w="2608" w:type="dxa"/>
            <w:vAlign w:val="bottom"/>
          </w:tcPr>
          <w:p w14:paraId="45C0EC48" w14:textId="10E3A197" w:rsidR="00DB2EDF" w:rsidRPr="00DE4140" w:rsidRDefault="00DB2EDF" w:rsidP="00DB2EDF">
            <w:pPr>
              <w:spacing w:before="60" w:after="60"/>
              <w:rPr>
                <w:rFonts w:cs="Arial"/>
                <w:szCs w:val="20"/>
                <w:lang w:val="en-US"/>
              </w:rPr>
            </w:pPr>
            <w:r w:rsidRPr="007E43F3">
              <w:rPr>
                <w:rFonts w:cs="Arial"/>
                <w:szCs w:val="20"/>
              </w:rPr>
              <w:t>DIS,DVB,MAG</w:t>
            </w:r>
          </w:p>
        </w:tc>
        <w:tc>
          <w:tcPr>
            <w:tcW w:w="1394" w:type="dxa"/>
            <w:vAlign w:val="bottom"/>
          </w:tcPr>
          <w:p w14:paraId="15356192" w14:textId="264DCC6C" w:rsidR="00DB2EDF" w:rsidRPr="00DE4140" w:rsidRDefault="00DB2EDF" w:rsidP="00DB2EDF">
            <w:pPr>
              <w:spacing w:before="60" w:after="60"/>
              <w:jc w:val="right"/>
              <w:rPr>
                <w:rFonts w:cs="Arial"/>
                <w:szCs w:val="20"/>
                <w:lang w:val="en-US"/>
              </w:rPr>
            </w:pPr>
            <w:r w:rsidRPr="00DE4140">
              <w:rPr>
                <w:rFonts w:cs="Arial"/>
                <w:szCs w:val="20"/>
              </w:rPr>
              <w:t>1</w:t>
            </w:r>
          </w:p>
        </w:tc>
      </w:tr>
      <w:tr w:rsidR="00DB2EDF" w:rsidRPr="00224AA8" w14:paraId="0EB9EDB6" w14:textId="77777777" w:rsidTr="00594D14">
        <w:trPr>
          <w:trHeight w:val="300"/>
        </w:trPr>
        <w:tc>
          <w:tcPr>
            <w:tcW w:w="2689" w:type="dxa"/>
            <w:vAlign w:val="bottom"/>
          </w:tcPr>
          <w:p w14:paraId="0AA3DECC" w14:textId="774D61FB" w:rsidR="00DB2EDF" w:rsidRPr="00DE4140" w:rsidRDefault="00DB2EDF" w:rsidP="00DB2EDF">
            <w:pPr>
              <w:spacing w:before="60" w:after="60"/>
              <w:rPr>
                <w:rFonts w:cs="Arial"/>
                <w:szCs w:val="20"/>
                <w:lang w:val="en-US"/>
              </w:rPr>
            </w:pPr>
            <w:r w:rsidRPr="007E43F3">
              <w:rPr>
                <w:rFonts w:cs="Arial"/>
                <w:szCs w:val="20"/>
              </w:rPr>
              <w:t>CHI,EQ</w:t>
            </w:r>
          </w:p>
        </w:tc>
        <w:tc>
          <w:tcPr>
            <w:tcW w:w="1394" w:type="dxa"/>
            <w:vAlign w:val="bottom"/>
          </w:tcPr>
          <w:p w14:paraId="4BA6E7D7" w14:textId="2A8CC0C0" w:rsidR="00DB2EDF" w:rsidRPr="00DE4140" w:rsidRDefault="00DB2EDF" w:rsidP="00DB2EDF">
            <w:pPr>
              <w:spacing w:before="60" w:after="60"/>
              <w:jc w:val="right"/>
              <w:rPr>
                <w:rFonts w:cs="Arial"/>
                <w:szCs w:val="20"/>
                <w:lang w:val="en-US"/>
              </w:rPr>
            </w:pPr>
            <w:r w:rsidRPr="00DE4140">
              <w:rPr>
                <w:rFonts w:cs="Arial"/>
                <w:szCs w:val="20"/>
              </w:rPr>
              <w:t>1</w:t>
            </w:r>
          </w:p>
        </w:tc>
        <w:tc>
          <w:tcPr>
            <w:tcW w:w="415" w:type="dxa"/>
            <w:tcBorders>
              <w:top w:val="nil"/>
              <w:bottom w:val="nil"/>
            </w:tcBorders>
          </w:tcPr>
          <w:p w14:paraId="5D18F1A1" w14:textId="77777777" w:rsidR="00DB2EDF" w:rsidRPr="00224AA8" w:rsidRDefault="00DB2EDF" w:rsidP="00DB2EDF">
            <w:pPr>
              <w:spacing w:before="60" w:after="60"/>
              <w:rPr>
                <w:rFonts w:cs="Arial"/>
                <w:szCs w:val="20"/>
                <w:lang w:val="en-US"/>
              </w:rPr>
            </w:pPr>
          </w:p>
        </w:tc>
        <w:tc>
          <w:tcPr>
            <w:tcW w:w="2608" w:type="dxa"/>
            <w:vAlign w:val="bottom"/>
          </w:tcPr>
          <w:p w14:paraId="20FA951E" w14:textId="38897C41" w:rsidR="00DB2EDF" w:rsidRPr="00DE4140" w:rsidRDefault="00DB2EDF" w:rsidP="00DB2EDF">
            <w:pPr>
              <w:spacing w:before="60" w:after="60"/>
              <w:rPr>
                <w:rFonts w:cs="Arial"/>
                <w:szCs w:val="20"/>
                <w:lang w:val="en-US"/>
              </w:rPr>
            </w:pPr>
            <w:r w:rsidRPr="007E43F3">
              <w:rPr>
                <w:rFonts w:cs="Arial"/>
                <w:szCs w:val="20"/>
              </w:rPr>
              <w:t>DIS,DVO,MAG</w:t>
            </w:r>
          </w:p>
        </w:tc>
        <w:tc>
          <w:tcPr>
            <w:tcW w:w="1394" w:type="dxa"/>
            <w:vAlign w:val="bottom"/>
          </w:tcPr>
          <w:p w14:paraId="48375B64" w14:textId="32CE86BF" w:rsidR="00DB2EDF" w:rsidRPr="00DE4140" w:rsidRDefault="00DB2EDF" w:rsidP="00DB2EDF">
            <w:pPr>
              <w:spacing w:before="60" w:after="60"/>
              <w:jc w:val="right"/>
              <w:rPr>
                <w:rFonts w:cs="Arial"/>
                <w:szCs w:val="20"/>
                <w:lang w:val="en-US"/>
              </w:rPr>
            </w:pPr>
            <w:r w:rsidRPr="00DE4140">
              <w:rPr>
                <w:rFonts w:cs="Arial"/>
                <w:szCs w:val="20"/>
              </w:rPr>
              <w:t>1</w:t>
            </w:r>
          </w:p>
        </w:tc>
      </w:tr>
      <w:tr w:rsidR="00DB2EDF" w:rsidRPr="00224AA8" w14:paraId="48C1EB0D" w14:textId="77777777" w:rsidTr="00594D14">
        <w:trPr>
          <w:trHeight w:val="300"/>
        </w:trPr>
        <w:tc>
          <w:tcPr>
            <w:tcW w:w="2689" w:type="dxa"/>
            <w:vAlign w:val="bottom"/>
          </w:tcPr>
          <w:p w14:paraId="0DE1258E" w14:textId="794B6111" w:rsidR="00DB2EDF" w:rsidRPr="00DE4140" w:rsidRDefault="00DB2EDF" w:rsidP="00DB2EDF">
            <w:pPr>
              <w:spacing w:before="60" w:after="60"/>
              <w:rPr>
                <w:rFonts w:cs="Arial"/>
                <w:szCs w:val="20"/>
                <w:lang w:val="en-US"/>
              </w:rPr>
            </w:pPr>
            <w:r w:rsidRPr="007E43F3">
              <w:rPr>
                <w:rFonts w:cs="Arial"/>
                <w:szCs w:val="20"/>
              </w:rPr>
              <w:t>CHI,EQ,MAG</w:t>
            </w:r>
          </w:p>
        </w:tc>
        <w:tc>
          <w:tcPr>
            <w:tcW w:w="1394" w:type="dxa"/>
            <w:vAlign w:val="bottom"/>
          </w:tcPr>
          <w:p w14:paraId="116A622D" w14:textId="45DFC205" w:rsidR="00DB2EDF" w:rsidRPr="00DE4140" w:rsidRDefault="00517644" w:rsidP="00DB2EDF">
            <w:pPr>
              <w:spacing w:before="60" w:after="60"/>
              <w:jc w:val="right"/>
              <w:rPr>
                <w:rFonts w:cs="Arial"/>
                <w:szCs w:val="20"/>
                <w:lang w:val="en-US"/>
              </w:rPr>
            </w:pPr>
            <w:r>
              <w:rPr>
                <w:rFonts w:cs="Arial"/>
                <w:szCs w:val="20"/>
              </w:rPr>
              <w:t>6</w:t>
            </w:r>
          </w:p>
        </w:tc>
        <w:tc>
          <w:tcPr>
            <w:tcW w:w="415" w:type="dxa"/>
            <w:tcBorders>
              <w:top w:val="nil"/>
              <w:bottom w:val="nil"/>
            </w:tcBorders>
          </w:tcPr>
          <w:p w14:paraId="3945048E" w14:textId="77777777" w:rsidR="00DB2EDF" w:rsidRPr="00224AA8" w:rsidRDefault="00DB2EDF" w:rsidP="00DB2EDF">
            <w:pPr>
              <w:spacing w:before="60" w:after="60"/>
              <w:rPr>
                <w:rFonts w:cs="Arial"/>
                <w:szCs w:val="20"/>
                <w:lang w:val="en-US"/>
              </w:rPr>
            </w:pPr>
          </w:p>
        </w:tc>
        <w:tc>
          <w:tcPr>
            <w:tcW w:w="2608" w:type="dxa"/>
            <w:vAlign w:val="bottom"/>
          </w:tcPr>
          <w:p w14:paraId="27CC9BDF" w14:textId="1DAAE493" w:rsidR="00DB2EDF" w:rsidRPr="00DE4140" w:rsidRDefault="00DB2EDF" w:rsidP="00DB2EDF">
            <w:pPr>
              <w:spacing w:before="60" w:after="60"/>
              <w:rPr>
                <w:rFonts w:cs="Arial"/>
                <w:szCs w:val="20"/>
                <w:lang w:val="en-US"/>
              </w:rPr>
            </w:pPr>
            <w:r w:rsidRPr="007E43F3">
              <w:rPr>
                <w:rFonts w:cs="Arial"/>
                <w:szCs w:val="20"/>
              </w:rPr>
              <w:t>DIS,EQ</w:t>
            </w:r>
          </w:p>
        </w:tc>
        <w:tc>
          <w:tcPr>
            <w:tcW w:w="1394" w:type="dxa"/>
            <w:vAlign w:val="bottom"/>
          </w:tcPr>
          <w:p w14:paraId="6F847D25" w14:textId="31E03FC8" w:rsidR="00DB2EDF" w:rsidRPr="00DE4140" w:rsidRDefault="00DB2EDF" w:rsidP="00DB2EDF">
            <w:pPr>
              <w:spacing w:before="60" w:after="60"/>
              <w:jc w:val="right"/>
              <w:rPr>
                <w:rFonts w:cs="Arial"/>
                <w:szCs w:val="20"/>
                <w:lang w:val="en-US"/>
              </w:rPr>
            </w:pPr>
            <w:r w:rsidRPr="00DE4140">
              <w:rPr>
                <w:rFonts w:cs="Arial"/>
                <w:szCs w:val="20"/>
              </w:rPr>
              <w:t>2</w:t>
            </w:r>
          </w:p>
        </w:tc>
      </w:tr>
      <w:tr w:rsidR="00DB2EDF" w:rsidRPr="00224AA8" w14:paraId="31492B7F" w14:textId="77777777" w:rsidTr="00594D14">
        <w:trPr>
          <w:trHeight w:val="300"/>
        </w:trPr>
        <w:tc>
          <w:tcPr>
            <w:tcW w:w="2689" w:type="dxa"/>
            <w:vAlign w:val="bottom"/>
          </w:tcPr>
          <w:p w14:paraId="5263403E" w14:textId="0D299DEA" w:rsidR="00DB2EDF" w:rsidRPr="00DE4140" w:rsidRDefault="00DB2EDF" w:rsidP="00DB2EDF">
            <w:pPr>
              <w:spacing w:before="60" w:after="60"/>
              <w:rPr>
                <w:rFonts w:cs="Arial"/>
                <w:szCs w:val="20"/>
                <w:lang w:val="en-US"/>
              </w:rPr>
            </w:pPr>
            <w:r w:rsidRPr="007E43F3">
              <w:rPr>
                <w:rFonts w:cs="Arial"/>
                <w:szCs w:val="20"/>
              </w:rPr>
              <w:t>CHI,MAG</w:t>
            </w:r>
          </w:p>
        </w:tc>
        <w:tc>
          <w:tcPr>
            <w:tcW w:w="1394" w:type="dxa"/>
            <w:vAlign w:val="bottom"/>
          </w:tcPr>
          <w:p w14:paraId="44A4614A" w14:textId="47689135" w:rsidR="00DB2EDF" w:rsidRPr="00DE4140" w:rsidRDefault="00DB2EDF" w:rsidP="00DB2EDF">
            <w:pPr>
              <w:spacing w:before="60" w:after="60"/>
              <w:jc w:val="right"/>
              <w:rPr>
                <w:rFonts w:cs="Arial"/>
                <w:szCs w:val="20"/>
                <w:lang w:val="en-US"/>
              </w:rPr>
            </w:pPr>
            <w:r w:rsidRPr="00DE4140">
              <w:rPr>
                <w:rFonts w:cs="Arial"/>
                <w:szCs w:val="20"/>
              </w:rPr>
              <w:t>2</w:t>
            </w:r>
          </w:p>
        </w:tc>
        <w:tc>
          <w:tcPr>
            <w:tcW w:w="415" w:type="dxa"/>
            <w:tcBorders>
              <w:top w:val="nil"/>
              <w:bottom w:val="nil"/>
            </w:tcBorders>
          </w:tcPr>
          <w:p w14:paraId="71353AC2" w14:textId="77777777" w:rsidR="00DB2EDF" w:rsidRPr="00224AA8" w:rsidRDefault="00DB2EDF" w:rsidP="00DB2EDF">
            <w:pPr>
              <w:spacing w:before="60" w:after="60"/>
              <w:rPr>
                <w:rFonts w:cs="Arial"/>
                <w:szCs w:val="20"/>
                <w:lang w:val="en-US"/>
              </w:rPr>
            </w:pPr>
          </w:p>
        </w:tc>
        <w:tc>
          <w:tcPr>
            <w:tcW w:w="2608" w:type="dxa"/>
            <w:vAlign w:val="bottom"/>
          </w:tcPr>
          <w:p w14:paraId="221C0D61" w14:textId="7C10850A" w:rsidR="00DB2EDF" w:rsidRPr="00DE4140" w:rsidRDefault="00DB2EDF" w:rsidP="00DB2EDF">
            <w:pPr>
              <w:spacing w:before="60" w:after="60"/>
              <w:rPr>
                <w:rFonts w:cs="Arial"/>
                <w:szCs w:val="20"/>
                <w:lang w:val="en-US"/>
              </w:rPr>
            </w:pPr>
            <w:r w:rsidRPr="007E43F3">
              <w:rPr>
                <w:rFonts w:cs="Arial"/>
                <w:szCs w:val="20"/>
              </w:rPr>
              <w:t>DIS,MAG</w:t>
            </w:r>
          </w:p>
        </w:tc>
        <w:tc>
          <w:tcPr>
            <w:tcW w:w="1394" w:type="dxa"/>
            <w:vAlign w:val="bottom"/>
          </w:tcPr>
          <w:p w14:paraId="293A011B" w14:textId="6C3AF613" w:rsidR="00DB2EDF" w:rsidRPr="00DE4140" w:rsidRDefault="00DB2EDF" w:rsidP="00DB2EDF">
            <w:pPr>
              <w:spacing w:before="60" w:after="60"/>
              <w:jc w:val="right"/>
              <w:rPr>
                <w:rFonts w:cs="Arial"/>
                <w:szCs w:val="20"/>
                <w:lang w:val="en-US"/>
              </w:rPr>
            </w:pPr>
            <w:r w:rsidRPr="00DE4140">
              <w:rPr>
                <w:rFonts w:cs="Arial"/>
                <w:szCs w:val="20"/>
              </w:rPr>
              <w:t>1</w:t>
            </w:r>
          </w:p>
        </w:tc>
      </w:tr>
      <w:tr w:rsidR="00DB2EDF" w:rsidRPr="00224AA8" w14:paraId="4899E49F" w14:textId="77777777" w:rsidTr="00594D14">
        <w:trPr>
          <w:trHeight w:val="300"/>
        </w:trPr>
        <w:tc>
          <w:tcPr>
            <w:tcW w:w="2689" w:type="dxa"/>
            <w:vAlign w:val="bottom"/>
          </w:tcPr>
          <w:p w14:paraId="5F1673F0" w14:textId="5206A5C4" w:rsidR="00DB2EDF" w:rsidRPr="00DE4140" w:rsidRDefault="00DB2EDF" w:rsidP="00DB2EDF">
            <w:pPr>
              <w:spacing w:before="60" w:after="60"/>
              <w:rPr>
                <w:rFonts w:cs="Arial"/>
                <w:szCs w:val="20"/>
                <w:lang w:val="en-US"/>
              </w:rPr>
            </w:pPr>
            <w:r w:rsidRPr="007E43F3">
              <w:rPr>
                <w:rFonts w:cs="Arial"/>
                <w:szCs w:val="20"/>
              </w:rPr>
              <w:t>CS,DIS</w:t>
            </w:r>
          </w:p>
        </w:tc>
        <w:tc>
          <w:tcPr>
            <w:tcW w:w="1394" w:type="dxa"/>
            <w:vAlign w:val="bottom"/>
          </w:tcPr>
          <w:p w14:paraId="7B6A9EFE" w14:textId="26FAE425" w:rsidR="00DB2EDF" w:rsidRPr="00DE4140" w:rsidRDefault="00DB2EDF" w:rsidP="00DB2EDF">
            <w:pPr>
              <w:spacing w:before="60" w:after="60"/>
              <w:jc w:val="right"/>
              <w:rPr>
                <w:rFonts w:cs="Arial"/>
                <w:szCs w:val="20"/>
                <w:lang w:val="en-US"/>
              </w:rPr>
            </w:pPr>
            <w:r w:rsidRPr="00DE4140">
              <w:rPr>
                <w:rFonts w:cs="Arial"/>
                <w:szCs w:val="20"/>
              </w:rPr>
              <w:t>1</w:t>
            </w:r>
          </w:p>
        </w:tc>
        <w:tc>
          <w:tcPr>
            <w:tcW w:w="415" w:type="dxa"/>
            <w:tcBorders>
              <w:top w:val="nil"/>
              <w:bottom w:val="nil"/>
            </w:tcBorders>
          </w:tcPr>
          <w:p w14:paraId="44626A30" w14:textId="77777777" w:rsidR="00DB2EDF" w:rsidRPr="00224AA8" w:rsidRDefault="00DB2EDF" w:rsidP="00DB2EDF">
            <w:pPr>
              <w:spacing w:before="60" w:after="60"/>
              <w:rPr>
                <w:rFonts w:cs="Arial"/>
                <w:szCs w:val="20"/>
                <w:lang w:val="en-US"/>
              </w:rPr>
            </w:pPr>
          </w:p>
        </w:tc>
        <w:tc>
          <w:tcPr>
            <w:tcW w:w="2608" w:type="dxa"/>
          </w:tcPr>
          <w:p w14:paraId="0E908D48" w14:textId="1B4C4565" w:rsidR="00DB2EDF" w:rsidRPr="00DE4140" w:rsidRDefault="00DB2EDF" w:rsidP="00DB2EDF">
            <w:pPr>
              <w:spacing w:before="60" w:after="60"/>
              <w:rPr>
                <w:rFonts w:cs="Arial"/>
                <w:szCs w:val="20"/>
                <w:lang w:val="en-US"/>
              </w:rPr>
            </w:pPr>
            <w:r w:rsidRPr="007E43F3">
              <w:rPr>
                <w:rFonts w:cs="Arial"/>
                <w:color w:val="000000"/>
                <w:szCs w:val="20"/>
              </w:rPr>
              <w:t>DVB,DVO</w:t>
            </w:r>
          </w:p>
        </w:tc>
        <w:tc>
          <w:tcPr>
            <w:tcW w:w="1394" w:type="dxa"/>
          </w:tcPr>
          <w:p w14:paraId="5A88AE77" w14:textId="4F2BE0C5" w:rsidR="00DB2EDF" w:rsidRPr="00DE4140" w:rsidRDefault="00DB2EDF" w:rsidP="00DB2EDF">
            <w:pPr>
              <w:spacing w:before="60" w:after="60"/>
              <w:jc w:val="right"/>
              <w:rPr>
                <w:rFonts w:cs="Arial"/>
                <w:szCs w:val="20"/>
                <w:lang w:val="en-US"/>
              </w:rPr>
            </w:pPr>
            <w:r w:rsidRPr="007E43F3">
              <w:rPr>
                <w:rFonts w:cs="Arial"/>
                <w:color w:val="000000"/>
                <w:szCs w:val="20"/>
              </w:rPr>
              <w:t>5</w:t>
            </w:r>
          </w:p>
        </w:tc>
      </w:tr>
      <w:tr w:rsidR="00DB2EDF" w:rsidRPr="00224AA8" w14:paraId="44D68614" w14:textId="77777777" w:rsidTr="00594D14">
        <w:trPr>
          <w:trHeight w:val="300"/>
        </w:trPr>
        <w:tc>
          <w:tcPr>
            <w:tcW w:w="2689" w:type="dxa"/>
            <w:vAlign w:val="bottom"/>
          </w:tcPr>
          <w:p w14:paraId="52E475FC" w14:textId="71624AF8" w:rsidR="00DB2EDF" w:rsidRPr="00DE4140" w:rsidRDefault="00DB2EDF" w:rsidP="00DB2EDF">
            <w:pPr>
              <w:spacing w:before="60" w:after="60"/>
              <w:rPr>
                <w:rFonts w:cs="Arial"/>
                <w:szCs w:val="20"/>
                <w:lang w:val="en-US"/>
              </w:rPr>
            </w:pPr>
            <w:r w:rsidRPr="007E43F3">
              <w:rPr>
                <w:rFonts w:cs="Arial"/>
                <w:szCs w:val="20"/>
              </w:rPr>
              <w:t>CS,DVB</w:t>
            </w:r>
          </w:p>
        </w:tc>
        <w:tc>
          <w:tcPr>
            <w:tcW w:w="1394" w:type="dxa"/>
            <w:vAlign w:val="bottom"/>
          </w:tcPr>
          <w:p w14:paraId="218F36AA" w14:textId="3802F7E5" w:rsidR="00DB2EDF" w:rsidRPr="00DE4140" w:rsidRDefault="00DB2EDF" w:rsidP="00DB2EDF">
            <w:pPr>
              <w:spacing w:before="60" w:after="60"/>
              <w:jc w:val="right"/>
              <w:rPr>
                <w:rFonts w:cs="Arial"/>
                <w:szCs w:val="20"/>
                <w:lang w:val="en-US"/>
              </w:rPr>
            </w:pPr>
            <w:r w:rsidRPr="00DE4140">
              <w:rPr>
                <w:rFonts w:cs="Arial"/>
                <w:szCs w:val="20"/>
              </w:rPr>
              <w:t>2</w:t>
            </w:r>
          </w:p>
        </w:tc>
        <w:tc>
          <w:tcPr>
            <w:tcW w:w="415" w:type="dxa"/>
            <w:tcBorders>
              <w:top w:val="nil"/>
              <w:bottom w:val="nil"/>
            </w:tcBorders>
          </w:tcPr>
          <w:p w14:paraId="0E30E3BD" w14:textId="77777777" w:rsidR="00DB2EDF" w:rsidRPr="00224AA8" w:rsidRDefault="00DB2EDF" w:rsidP="00DB2EDF">
            <w:pPr>
              <w:spacing w:before="60" w:after="60"/>
              <w:rPr>
                <w:rFonts w:cs="Arial"/>
                <w:szCs w:val="20"/>
                <w:lang w:val="en-US"/>
              </w:rPr>
            </w:pPr>
          </w:p>
        </w:tc>
        <w:tc>
          <w:tcPr>
            <w:tcW w:w="2608" w:type="dxa"/>
          </w:tcPr>
          <w:p w14:paraId="049D842F" w14:textId="704CE68C" w:rsidR="00DB2EDF" w:rsidRPr="00DE4140" w:rsidRDefault="00DB2EDF" w:rsidP="00DB2EDF">
            <w:pPr>
              <w:spacing w:before="60" w:after="60"/>
              <w:rPr>
                <w:rFonts w:cs="Arial"/>
                <w:szCs w:val="20"/>
                <w:lang w:val="en-US"/>
              </w:rPr>
            </w:pPr>
            <w:r w:rsidRPr="007E43F3">
              <w:rPr>
                <w:rFonts w:cs="Arial"/>
                <w:color w:val="000000"/>
                <w:szCs w:val="20"/>
              </w:rPr>
              <w:t>DVB,DVO,EQ</w:t>
            </w:r>
          </w:p>
        </w:tc>
        <w:tc>
          <w:tcPr>
            <w:tcW w:w="1394" w:type="dxa"/>
          </w:tcPr>
          <w:p w14:paraId="29E4AD3B" w14:textId="0DD51CC4" w:rsidR="00DB2EDF" w:rsidRPr="00DE4140" w:rsidRDefault="00DB2EDF" w:rsidP="00DB2EDF">
            <w:pPr>
              <w:spacing w:before="60" w:after="60"/>
              <w:jc w:val="right"/>
              <w:rPr>
                <w:rFonts w:cs="Arial"/>
                <w:szCs w:val="20"/>
                <w:lang w:val="en-US"/>
              </w:rPr>
            </w:pPr>
            <w:r w:rsidRPr="007E43F3">
              <w:rPr>
                <w:rFonts w:cs="Arial"/>
                <w:color w:val="000000"/>
                <w:szCs w:val="20"/>
              </w:rPr>
              <w:t>1</w:t>
            </w:r>
          </w:p>
        </w:tc>
      </w:tr>
      <w:tr w:rsidR="00DB2EDF" w:rsidRPr="00224AA8" w14:paraId="6A3FB0A2" w14:textId="77777777" w:rsidTr="00594D14">
        <w:trPr>
          <w:trHeight w:val="300"/>
        </w:trPr>
        <w:tc>
          <w:tcPr>
            <w:tcW w:w="2689" w:type="dxa"/>
            <w:vAlign w:val="bottom"/>
          </w:tcPr>
          <w:p w14:paraId="74E27857" w14:textId="50BDEC7E" w:rsidR="00DB2EDF" w:rsidRPr="00DE4140" w:rsidRDefault="00DB2EDF" w:rsidP="00DB2EDF">
            <w:pPr>
              <w:spacing w:before="60" w:after="60"/>
              <w:rPr>
                <w:rFonts w:cs="Arial"/>
                <w:szCs w:val="20"/>
                <w:lang w:val="en-US"/>
              </w:rPr>
            </w:pPr>
            <w:r w:rsidRPr="007E43F3">
              <w:rPr>
                <w:rFonts w:cs="Arial"/>
                <w:szCs w:val="20"/>
              </w:rPr>
              <w:t>CS,DVB,DVO,EQ,MAG</w:t>
            </w:r>
          </w:p>
        </w:tc>
        <w:tc>
          <w:tcPr>
            <w:tcW w:w="1394" w:type="dxa"/>
            <w:vAlign w:val="bottom"/>
          </w:tcPr>
          <w:p w14:paraId="2F2FA1F6" w14:textId="5A4F04A6" w:rsidR="00DB2EDF" w:rsidRPr="00DE4140" w:rsidRDefault="00DB2EDF" w:rsidP="00DB2EDF">
            <w:pPr>
              <w:spacing w:before="60" w:after="60"/>
              <w:jc w:val="right"/>
              <w:rPr>
                <w:rFonts w:cs="Arial"/>
                <w:szCs w:val="20"/>
                <w:lang w:val="en-US"/>
              </w:rPr>
            </w:pPr>
            <w:r w:rsidRPr="00DE4140">
              <w:rPr>
                <w:rFonts w:cs="Arial"/>
                <w:szCs w:val="20"/>
              </w:rPr>
              <w:t>1</w:t>
            </w:r>
          </w:p>
        </w:tc>
        <w:tc>
          <w:tcPr>
            <w:tcW w:w="415" w:type="dxa"/>
            <w:tcBorders>
              <w:top w:val="nil"/>
              <w:bottom w:val="nil"/>
            </w:tcBorders>
          </w:tcPr>
          <w:p w14:paraId="516513B0" w14:textId="77777777" w:rsidR="00DB2EDF" w:rsidRPr="00224AA8" w:rsidRDefault="00DB2EDF" w:rsidP="00DB2EDF">
            <w:pPr>
              <w:spacing w:before="60" w:after="60"/>
              <w:rPr>
                <w:rFonts w:cs="Arial"/>
                <w:szCs w:val="20"/>
                <w:lang w:val="en-US"/>
              </w:rPr>
            </w:pPr>
          </w:p>
        </w:tc>
        <w:tc>
          <w:tcPr>
            <w:tcW w:w="2608" w:type="dxa"/>
          </w:tcPr>
          <w:p w14:paraId="2DB11F0E" w14:textId="4BBA2F1B" w:rsidR="00DB2EDF" w:rsidRPr="00DE4140" w:rsidRDefault="00DB2EDF" w:rsidP="00DB2EDF">
            <w:pPr>
              <w:spacing w:before="60" w:after="60"/>
              <w:rPr>
                <w:rFonts w:cs="Arial"/>
                <w:szCs w:val="20"/>
                <w:lang w:val="en-US"/>
              </w:rPr>
            </w:pPr>
            <w:r w:rsidRPr="007E43F3">
              <w:rPr>
                <w:rFonts w:cs="Arial"/>
                <w:color w:val="000000"/>
                <w:szCs w:val="20"/>
              </w:rPr>
              <w:t>DVB,DVO,MAG</w:t>
            </w:r>
          </w:p>
        </w:tc>
        <w:tc>
          <w:tcPr>
            <w:tcW w:w="1394" w:type="dxa"/>
          </w:tcPr>
          <w:p w14:paraId="7F0126F0" w14:textId="6B31C09B" w:rsidR="00DB2EDF" w:rsidRPr="00DE4140" w:rsidRDefault="00DB2EDF" w:rsidP="00DB2EDF">
            <w:pPr>
              <w:spacing w:before="60" w:after="60"/>
              <w:jc w:val="right"/>
              <w:rPr>
                <w:rFonts w:cs="Arial"/>
                <w:szCs w:val="20"/>
                <w:lang w:val="en-US"/>
              </w:rPr>
            </w:pPr>
            <w:r w:rsidRPr="007E43F3">
              <w:rPr>
                <w:rFonts w:cs="Arial"/>
                <w:color w:val="000000"/>
                <w:szCs w:val="20"/>
              </w:rPr>
              <w:t>11</w:t>
            </w:r>
          </w:p>
        </w:tc>
      </w:tr>
      <w:tr w:rsidR="00DB2EDF" w:rsidRPr="00224AA8" w14:paraId="7CBB2A09" w14:textId="77777777" w:rsidTr="00594D14">
        <w:trPr>
          <w:trHeight w:val="300"/>
        </w:trPr>
        <w:tc>
          <w:tcPr>
            <w:tcW w:w="2689" w:type="dxa"/>
            <w:vAlign w:val="bottom"/>
          </w:tcPr>
          <w:p w14:paraId="286822FA" w14:textId="7B7BF381" w:rsidR="00DB2EDF" w:rsidRPr="00DE4140" w:rsidRDefault="00DB2EDF" w:rsidP="00DB2EDF">
            <w:pPr>
              <w:spacing w:before="60" w:after="60"/>
              <w:rPr>
                <w:rFonts w:cs="Arial"/>
                <w:szCs w:val="20"/>
                <w:lang w:val="en-US"/>
              </w:rPr>
            </w:pPr>
            <w:r w:rsidRPr="007E43F3">
              <w:rPr>
                <w:rFonts w:cs="Arial"/>
                <w:szCs w:val="20"/>
              </w:rPr>
              <w:t>CS,DVB,DVO,MAG</w:t>
            </w:r>
          </w:p>
        </w:tc>
        <w:tc>
          <w:tcPr>
            <w:tcW w:w="1394" w:type="dxa"/>
            <w:vAlign w:val="bottom"/>
          </w:tcPr>
          <w:p w14:paraId="3E12886B" w14:textId="068105CA" w:rsidR="00DB2EDF" w:rsidRPr="00DE4140" w:rsidRDefault="00DB2EDF" w:rsidP="00DB2EDF">
            <w:pPr>
              <w:spacing w:before="60" w:after="60"/>
              <w:jc w:val="right"/>
              <w:rPr>
                <w:rFonts w:cs="Arial"/>
                <w:szCs w:val="20"/>
                <w:lang w:val="en-US"/>
              </w:rPr>
            </w:pPr>
            <w:r w:rsidRPr="00DE4140">
              <w:rPr>
                <w:rFonts w:cs="Arial"/>
                <w:szCs w:val="20"/>
              </w:rPr>
              <w:t>2</w:t>
            </w:r>
          </w:p>
        </w:tc>
        <w:tc>
          <w:tcPr>
            <w:tcW w:w="415" w:type="dxa"/>
            <w:tcBorders>
              <w:top w:val="nil"/>
              <w:bottom w:val="nil"/>
            </w:tcBorders>
          </w:tcPr>
          <w:p w14:paraId="6808422B" w14:textId="77777777" w:rsidR="00DB2EDF" w:rsidRPr="00224AA8" w:rsidRDefault="00DB2EDF" w:rsidP="00DB2EDF">
            <w:pPr>
              <w:spacing w:before="60" w:after="60"/>
              <w:rPr>
                <w:rFonts w:cs="Arial"/>
                <w:szCs w:val="20"/>
                <w:lang w:val="en-US"/>
              </w:rPr>
            </w:pPr>
          </w:p>
        </w:tc>
        <w:tc>
          <w:tcPr>
            <w:tcW w:w="2608" w:type="dxa"/>
            <w:vAlign w:val="bottom"/>
          </w:tcPr>
          <w:p w14:paraId="1FDF4889" w14:textId="700E004F" w:rsidR="00DB2EDF" w:rsidRPr="00DE4140" w:rsidRDefault="00DB2EDF" w:rsidP="00DB2EDF">
            <w:pPr>
              <w:spacing w:before="60" w:after="60"/>
              <w:rPr>
                <w:rFonts w:cs="Arial"/>
                <w:szCs w:val="20"/>
                <w:lang w:val="en-US"/>
              </w:rPr>
            </w:pPr>
            <w:r w:rsidRPr="007E43F3">
              <w:rPr>
                <w:rFonts w:cs="Arial"/>
                <w:szCs w:val="20"/>
              </w:rPr>
              <w:t>DVB,EQ</w:t>
            </w:r>
          </w:p>
        </w:tc>
        <w:tc>
          <w:tcPr>
            <w:tcW w:w="1394" w:type="dxa"/>
            <w:vAlign w:val="bottom"/>
          </w:tcPr>
          <w:p w14:paraId="53EE6C3C" w14:textId="7245211E" w:rsidR="00DB2EDF" w:rsidRPr="00DE4140" w:rsidRDefault="00DB2EDF" w:rsidP="00DB2EDF">
            <w:pPr>
              <w:spacing w:before="60" w:after="60"/>
              <w:jc w:val="right"/>
              <w:rPr>
                <w:rFonts w:cs="Arial"/>
                <w:szCs w:val="20"/>
                <w:lang w:val="en-US"/>
              </w:rPr>
            </w:pPr>
            <w:r w:rsidRPr="007E43F3">
              <w:rPr>
                <w:rFonts w:cs="Arial"/>
                <w:szCs w:val="20"/>
              </w:rPr>
              <w:t>2</w:t>
            </w:r>
          </w:p>
        </w:tc>
      </w:tr>
      <w:tr w:rsidR="00DB2EDF" w:rsidRPr="00224AA8" w14:paraId="3998A8DE" w14:textId="77777777" w:rsidTr="00594D14">
        <w:trPr>
          <w:trHeight w:val="300"/>
        </w:trPr>
        <w:tc>
          <w:tcPr>
            <w:tcW w:w="2689" w:type="dxa"/>
            <w:vAlign w:val="bottom"/>
          </w:tcPr>
          <w:p w14:paraId="33489F38" w14:textId="655D97A4" w:rsidR="00DB2EDF" w:rsidRPr="00DE4140" w:rsidRDefault="00DB2EDF" w:rsidP="00DB2EDF">
            <w:pPr>
              <w:spacing w:before="60" w:after="60"/>
              <w:rPr>
                <w:rFonts w:cs="Arial"/>
                <w:szCs w:val="20"/>
                <w:lang w:val="en-US"/>
              </w:rPr>
            </w:pPr>
            <w:r w:rsidRPr="007E43F3">
              <w:rPr>
                <w:rFonts w:cs="Arial"/>
                <w:szCs w:val="20"/>
              </w:rPr>
              <w:t>CS,DVB,EQ,MAG</w:t>
            </w:r>
          </w:p>
        </w:tc>
        <w:tc>
          <w:tcPr>
            <w:tcW w:w="1394" w:type="dxa"/>
            <w:vAlign w:val="bottom"/>
          </w:tcPr>
          <w:p w14:paraId="0410FC3E" w14:textId="62C7E9C4" w:rsidR="00DB2EDF" w:rsidRPr="00DE4140" w:rsidRDefault="00DB2EDF" w:rsidP="00DB2EDF">
            <w:pPr>
              <w:spacing w:before="60" w:after="60"/>
              <w:jc w:val="right"/>
              <w:rPr>
                <w:rFonts w:cs="Arial"/>
                <w:szCs w:val="20"/>
                <w:lang w:val="en-US"/>
              </w:rPr>
            </w:pPr>
            <w:r w:rsidRPr="00DE4140">
              <w:rPr>
                <w:rFonts w:cs="Arial"/>
                <w:szCs w:val="20"/>
              </w:rPr>
              <w:t>2</w:t>
            </w:r>
          </w:p>
        </w:tc>
        <w:tc>
          <w:tcPr>
            <w:tcW w:w="415" w:type="dxa"/>
            <w:tcBorders>
              <w:top w:val="nil"/>
              <w:bottom w:val="nil"/>
            </w:tcBorders>
          </w:tcPr>
          <w:p w14:paraId="1AA98249" w14:textId="77777777" w:rsidR="00DB2EDF" w:rsidRPr="00224AA8" w:rsidRDefault="00DB2EDF" w:rsidP="00DB2EDF">
            <w:pPr>
              <w:spacing w:before="60" w:after="60"/>
              <w:rPr>
                <w:rFonts w:cs="Arial"/>
                <w:szCs w:val="20"/>
                <w:lang w:val="en-US"/>
              </w:rPr>
            </w:pPr>
          </w:p>
        </w:tc>
        <w:tc>
          <w:tcPr>
            <w:tcW w:w="2608" w:type="dxa"/>
            <w:vAlign w:val="bottom"/>
          </w:tcPr>
          <w:p w14:paraId="73F7E0FD" w14:textId="3F9BC6B4" w:rsidR="00DB2EDF" w:rsidRPr="00DE4140" w:rsidRDefault="00DB2EDF" w:rsidP="00DB2EDF">
            <w:pPr>
              <w:spacing w:before="60" w:after="60"/>
              <w:rPr>
                <w:rFonts w:cs="Arial"/>
                <w:szCs w:val="20"/>
                <w:lang w:val="en-US"/>
              </w:rPr>
            </w:pPr>
            <w:r w:rsidRPr="007E43F3">
              <w:rPr>
                <w:rFonts w:cs="Arial"/>
                <w:szCs w:val="20"/>
              </w:rPr>
              <w:t>DVB,EQ,MAG</w:t>
            </w:r>
          </w:p>
        </w:tc>
        <w:tc>
          <w:tcPr>
            <w:tcW w:w="1394" w:type="dxa"/>
            <w:vAlign w:val="bottom"/>
          </w:tcPr>
          <w:p w14:paraId="077F4C24" w14:textId="10474FFE" w:rsidR="00DB2EDF" w:rsidRPr="00DE4140" w:rsidRDefault="00DB2EDF" w:rsidP="00DB2EDF">
            <w:pPr>
              <w:spacing w:before="60" w:after="60"/>
              <w:jc w:val="right"/>
              <w:rPr>
                <w:rFonts w:cs="Arial"/>
                <w:szCs w:val="20"/>
                <w:lang w:val="en-US"/>
              </w:rPr>
            </w:pPr>
            <w:r w:rsidRPr="007E43F3">
              <w:rPr>
                <w:rFonts w:cs="Arial"/>
                <w:szCs w:val="20"/>
              </w:rPr>
              <w:t>4</w:t>
            </w:r>
          </w:p>
        </w:tc>
      </w:tr>
      <w:tr w:rsidR="00DB2EDF" w:rsidRPr="00224AA8" w14:paraId="5390F204" w14:textId="77777777" w:rsidTr="00594D14">
        <w:trPr>
          <w:trHeight w:val="300"/>
        </w:trPr>
        <w:tc>
          <w:tcPr>
            <w:tcW w:w="2689" w:type="dxa"/>
            <w:vAlign w:val="bottom"/>
          </w:tcPr>
          <w:p w14:paraId="3093116F" w14:textId="676BAC6C" w:rsidR="00DB2EDF" w:rsidRPr="00DE4140" w:rsidRDefault="00DB2EDF" w:rsidP="00DB2EDF">
            <w:pPr>
              <w:spacing w:before="60" w:after="60"/>
              <w:rPr>
                <w:rFonts w:cs="Arial"/>
                <w:szCs w:val="20"/>
                <w:lang w:val="en-US"/>
              </w:rPr>
            </w:pPr>
            <w:r w:rsidRPr="007E43F3">
              <w:rPr>
                <w:rFonts w:cs="Arial"/>
                <w:szCs w:val="20"/>
              </w:rPr>
              <w:t>CS,DVB,MAG</w:t>
            </w:r>
          </w:p>
        </w:tc>
        <w:tc>
          <w:tcPr>
            <w:tcW w:w="1394" w:type="dxa"/>
            <w:vAlign w:val="bottom"/>
          </w:tcPr>
          <w:p w14:paraId="15109F6D" w14:textId="4ED8DDA0" w:rsidR="00DB2EDF" w:rsidRPr="00DE4140" w:rsidRDefault="00DB2EDF" w:rsidP="00DB2EDF">
            <w:pPr>
              <w:spacing w:before="60" w:after="60"/>
              <w:jc w:val="right"/>
              <w:rPr>
                <w:rFonts w:cs="Arial"/>
                <w:szCs w:val="20"/>
                <w:lang w:val="en-US"/>
              </w:rPr>
            </w:pPr>
            <w:r w:rsidRPr="00DE4140">
              <w:rPr>
                <w:rFonts w:cs="Arial"/>
                <w:szCs w:val="20"/>
              </w:rPr>
              <w:t>3</w:t>
            </w:r>
          </w:p>
        </w:tc>
        <w:tc>
          <w:tcPr>
            <w:tcW w:w="415" w:type="dxa"/>
            <w:tcBorders>
              <w:top w:val="nil"/>
              <w:bottom w:val="nil"/>
            </w:tcBorders>
          </w:tcPr>
          <w:p w14:paraId="39C0D2BE" w14:textId="77777777" w:rsidR="00DB2EDF" w:rsidRPr="00224AA8" w:rsidRDefault="00DB2EDF" w:rsidP="00DB2EDF">
            <w:pPr>
              <w:spacing w:before="60" w:after="60"/>
              <w:rPr>
                <w:rFonts w:cs="Arial"/>
                <w:szCs w:val="20"/>
                <w:lang w:val="en-US"/>
              </w:rPr>
            </w:pPr>
          </w:p>
        </w:tc>
        <w:tc>
          <w:tcPr>
            <w:tcW w:w="2608" w:type="dxa"/>
            <w:vAlign w:val="bottom"/>
          </w:tcPr>
          <w:p w14:paraId="35619B11" w14:textId="5863BE18" w:rsidR="00DB2EDF" w:rsidRPr="00DE4140" w:rsidRDefault="00DB2EDF" w:rsidP="00DB2EDF">
            <w:pPr>
              <w:spacing w:before="60" w:after="60"/>
              <w:rPr>
                <w:rFonts w:cs="Arial"/>
                <w:szCs w:val="20"/>
                <w:lang w:val="en-US"/>
              </w:rPr>
            </w:pPr>
            <w:r w:rsidRPr="007E43F3">
              <w:rPr>
                <w:rFonts w:cs="Arial"/>
                <w:szCs w:val="20"/>
              </w:rPr>
              <w:t>DVB,MAG</w:t>
            </w:r>
          </w:p>
        </w:tc>
        <w:tc>
          <w:tcPr>
            <w:tcW w:w="1394" w:type="dxa"/>
            <w:vAlign w:val="bottom"/>
          </w:tcPr>
          <w:p w14:paraId="7C869F0F" w14:textId="306F2BA7" w:rsidR="00DB2EDF" w:rsidRPr="00DE4140" w:rsidRDefault="00DB2EDF" w:rsidP="00DB2EDF">
            <w:pPr>
              <w:spacing w:before="60" w:after="60"/>
              <w:jc w:val="right"/>
              <w:rPr>
                <w:rFonts w:cs="Arial"/>
                <w:szCs w:val="20"/>
                <w:lang w:val="en-US"/>
              </w:rPr>
            </w:pPr>
            <w:r w:rsidRPr="007E43F3">
              <w:rPr>
                <w:rFonts w:cs="Arial"/>
                <w:szCs w:val="20"/>
              </w:rPr>
              <w:t>24</w:t>
            </w:r>
          </w:p>
        </w:tc>
      </w:tr>
      <w:tr w:rsidR="00DB2EDF" w:rsidRPr="00224AA8" w14:paraId="284E9B2C" w14:textId="77777777" w:rsidTr="00594D14">
        <w:trPr>
          <w:trHeight w:val="300"/>
        </w:trPr>
        <w:tc>
          <w:tcPr>
            <w:tcW w:w="2689" w:type="dxa"/>
            <w:vAlign w:val="bottom"/>
          </w:tcPr>
          <w:p w14:paraId="7AA16F1F" w14:textId="4316D355" w:rsidR="00DB2EDF" w:rsidRPr="00DE4140" w:rsidRDefault="00DB2EDF" w:rsidP="00DB2EDF">
            <w:pPr>
              <w:spacing w:before="60" w:after="60"/>
              <w:rPr>
                <w:rFonts w:cs="Arial"/>
                <w:szCs w:val="20"/>
                <w:lang w:val="en-US"/>
              </w:rPr>
            </w:pPr>
            <w:r w:rsidRPr="007E43F3">
              <w:rPr>
                <w:rFonts w:cs="Arial"/>
                <w:szCs w:val="20"/>
              </w:rPr>
              <w:t>CS,DVO</w:t>
            </w:r>
          </w:p>
        </w:tc>
        <w:tc>
          <w:tcPr>
            <w:tcW w:w="1394" w:type="dxa"/>
            <w:vAlign w:val="bottom"/>
          </w:tcPr>
          <w:p w14:paraId="1E30F924" w14:textId="35D77195" w:rsidR="00DB2EDF" w:rsidRPr="00DE4140" w:rsidRDefault="00DB2EDF" w:rsidP="00DB2EDF">
            <w:pPr>
              <w:spacing w:before="60" w:after="60"/>
              <w:jc w:val="right"/>
              <w:rPr>
                <w:rFonts w:cs="Arial"/>
                <w:szCs w:val="20"/>
                <w:lang w:val="en-US"/>
              </w:rPr>
            </w:pPr>
            <w:r w:rsidRPr="00DE4140">
              <w:rPr>
                <w:rFonts w:cs="Arial"/>
                <w:szCs w:val="20"/>
              </w:rPr>
              <w:t>7</w:t>
            </w:r>
          </w:p>
        </w:tc>
        <w:tc>
          <w:tcPr>
            <w:tcW w:w="415" w:type="dxa"/>
            <w:tcBorders>
              <w:top w:val="nil"/>
              <w:bottom w:val="nil"/>
            </w:tcBorders>
          </w:tcPr>
          <w:p w14:paraId="57D29DBD" w14:textId="77777777" w:rsidR="00DB2EDF" w:rsidRPr="00224AA8" w:rsidRDefault="00DB2EDF" w:rsidP="00DB2EDF">
            <w:pPr>
              <w:spacing w:before="60" w:after="60"/>
              <w:rPr>
                <w:rFonts w:cs="Arial"/>
                <w:szCs w:val="20"/>
                <w:lang w:val="en-US"/>
              </w:rPr>
            </w:pPr>
          </w:p>
        </w:tc>
        <w:tc>
          <w:tcPr>
            <w:tcW w:w="2608" w:type="dxa"/>
            <w:vAlign w:val="bottom"/>
          </w:tcPr>
          <w:p w14:paraId="45FA3653" w14:textId="51FFDBFE" w:rsidR="00DB2EDF" w:rsidRPr="00DE4140" w:rsidRDefault="00DB2EDF" w:rsidP="00DB2EDF">
            <w:pPr>
              <w:spacing w:before="60" w:after="60"/>
              <w:rPr>
                <w:rFonts w:cs="Arial"/>
                <w:szCs w:val="20"/>
                <w:lang w:val="en-US"/>
              </w:rPr>
            </w:pPr>
            <w:r w:rsidRPr="007E43F3">
              <w:rPr>
                <w:rFonts w:cs="Arial"/>
                <w:szCs w:val="20"/>
              </w:rPr>
              <w:t>DVO,EQ</w:t>
            </w:r>
          </w:p>
        </w:tc>
        <w:tc>
          <w:tcPr>
            <w:tcW w:w="1394" w:type="dxa"/>
            <w:vAlign w:val="bottom"/>
          </w:tcPr>
          <w:p w14:paraId="2B02DFC0" w14:textId="35BEAC24" w:rsidR="00DB2EDF" w:rsidRPr="00DE4140" w:rsidRDefault="00DB2EDF" w:rsidP="00DB2EDF">
            <w:pPr>
              <w:spacing w:before="60" w:after="60"/>
              <w:jc w:val="right"/>
              <w:rPr>
                <w:rFonts w:cs="Arial"/>
                <w:szCs w:val="20"/>
                <w:lang w:val="en-US"/>
              </w:rPr>
            </w:pPr>
            <w:r w:rsidRPr="007E43F3">
              <w:rPr>
                <w:rFonts w:cs="Arial"/>
                <w:szCs w:val="20"/>
              </w:rPr>
              <w:t>6</w:t>
            </w:r>
          </w:p>
        </w:tc>
      </w:tr>
      <w:tr w:rsidR="00DB2EDF" w:rsidRPr="00224AA8" w14:paraId="330849B4" w14:textId="77777777" w:rsidTr="00594D14">
        <w:trPr>
          <w:trHeight w:val="300"/>
        </w:trPr>
        <w:tc>
          <w:tcPr>
            <w:tcW w:w="2689" w:type="dxa"/>
            <w:vAlign w:val="bottom"/>
          </w:tcPr>
          <w:p w14:paraId="6AA3B954" w14:textId="7028ECE3" w:rsidR="00DB2EDF" w:rsidRPr="00DE4140" w:rsidRDefault="00DB2EDF" w:rsidP="00DB2EDF">
            <w:pPr>
              <w:spacing w:before="60" w:after="60"/>
              <w:rPr>
                <w:rFonts w:cs="Arial"/>
                <w:szCs w:val="20"/>
                <w:lang w:val="en-US"/>
              </w:rPr>
            </w:pPr>
            <w:r w:rsidRPr="007E43F3">
              <w:rPr>
                <w:rFonts w:cs="Arial"/>
                <w:szCs w:val="20"/>
              </w:rPr>
              <w:t>CS,DVO,EQ</w:t>
            </w:r>
          </w:p>
        </w:tc>
        <w:tc>
          <w:tcPr>
            <w:tcW w:w="1394" w:type="dxa"/>
            <w:vAlign w:val="bottom"/>
          </w:tcPr>
          <w:p w14:paraId="2609BD42" w14:textId="4F1C3E48" w:rsidR="00DB2EDF" w:rsidRPr="00DE4140" w:rsidRDefault="00DB2EDF" w:rsidP="00DB2EDF">
            <w:pPr>
              <w:spacing w:before="60" w:after="60"/>
              <w:jc w:val="right"/>
              <w:rPr>
                <w:rFonts w:cs="Arial"/>
                <w:szCs w:val="20"/>
                <w:lang w:val="en-US"/>
              </w:rPr>
            </w:pPr>
            <w:r w:rsidRPr="00DE4140">
              <w:rPr>
                <w:rFonts w:cs="Arial"/>
                <w:szCs w:val="20"/>
              </w:rPr>
              <w:t>2</w:t>
            </w:r>
          </w:p>
        </w:tc>
        <w:tc>
          <w:tcPr>
            <w:tcW w:w="415" w:type="dxa"/>
            <w:tcBorders>
              <w:top w:val="nil"/>
              <w:bottom w:val="nil"/>
            </w:tcBorders>
          </w:tcPr>
          <w:p w14:paraId="5EAE5C79" w14:textId="77777777" w:rsidR="00DB2EDF" w:rsidRPr="00224AA8" w:rsidRDefault="00DB2EDF" w:rsidP="00DB2EDF">
            <w:pPr>
              <w:spacing w:before="60" w:after="60"/>
              <w:rPr>
                <w:rFonts w:cs="Arial"/>
                <w:szCs w:val="20"/>
                <w:lang w:val="en-US"/>
              </w:rPr>
            </w:pPr>
          </w:p>
        </w:tc>
        <w:tc>
          <w:tcPr>
            <w:tcW w:w="2608" w:type="dxa"/>
            <w:vAlign w:val="bottom"/>
          </w:tcPr>
          <w:p w14:paraId="621E8371" w14:textId="30B6CD3D" w:rsidR="00DB2EDF" w:rsidRPr="00DE4140" w:rsidRDefault="00DB2EDF" w:rsidP="00DB2EDF">
            <w:pPr>
              <w:spacing w:before="60" w:after="60"/>
              <w:rPr>
                <w:rFonts w:cs="Arial"/>
                <w:szCs w:val="20"/>
                <w:lang w:val="en-US"/>
              </w:rPr>
            </w:pPr>
            <w:r w:rsidRPr="007E43F3">
              <w:rPr>
                <w:rFonts w:cs="Arial"/>
                <w:szCs w:val="20"/>
              </w:rPr>
              <w:t>DVO,EQ,MAG</w:t>
            </w:r>
          </w:p>
        </w:tc>
        <w:tc>
          <w:tcPr>
            <w:tcW w:w="1394" w:type="dxa"/>
            <w:vAlign w:val="bottom"/>
          </w:tcPr>
          <w:p w14:paraId="47A57F0F" w14:textId="59DDF7DE" w:rsidR="00DB2EDF" w:rsidRPr="00DE4140" w:rsidRDefault="00DB2EDF" w:rsidP="00DB2EDF">
            <w:pPr>
              <w:spacing w:before="60" w:after="60"/>
              <w:jc w:val="right"/>
              <w:rPr>
                <w:rFonts w:cs="Arial"/>
                <w:szCs w:val="20"/>
                <w:lang w:val="en-US"/>
              </w:rPr>
            </w:pPr>
            <w:r w:rsidRPr="007E43F3">
              <w:rPr>
                <w:rFonts w:cs="Arial"/>
                <w:szCs w:val="20"/>
              </w:rPr>
              <w:t>5</w:t>
            </w:r>
          </w:p>
        </w:tc>
      </w:tr>
      <w:tr w:rsidR="00DB2EDF" w:rsidRPr="00224AA8" w14:paraId="3291671F" w14:textId="77777777" w:rsidTr="00594D14">
        <w:trPr>
          <w:trHeight w:val="300"/>
        </w:trPr>
        <w:tc>
          <w:tcPr>
            <w:tcW w:w="2689" w:type="dxa"/>
            <w:vAlign w:val="bottom"/>
          </w:tcPr>
          <w:p w14:paraId="60003D67" w14:textId="0A32EAE1" w:rsidR="00DB2EDF" w:rsidRPr="00DE4140" w:rsidRDefault="00DB2EDF" w:rsidP="00DB2EDF">
            <w:pPr>
              <w:spacing w:before="60" w:after="60"/>
              <w:rPr>
                <w:rFonts w:cs="Arial"/>
                <w:szCs w:val="20"/>
                <w:lang w:val="en-US"/>
              </w:rPr>
            </w:pPr>
            <w:r w:rsidRPr="007E43F3">
              <w:rPr>
                <w:rFonts w:cs="Arial"/>
                <w:szCs w:val="20"/>
              </w:rPr>
              <w:t>CS,DVO,EQ,MAG</w:t>
            </w:r>
          </w:p>
        </w:tc>
        <w:tc>
          <w:tcPr>
            <w:tcW w:w="1394" w:type="dxa"/>
            <w:vAlign w:val="bottom"/>
          </w:tcPr>
          <w:p w14:paraId="04408F68" w14:textId="0F3ED542" w:rsidR="00DB2EDF" w:rsidRPr="00DE4140" w:rsidRDefault="00DB2EDF" w:rsidP="00DB2EDF">
            <w:pPr>
              <w:spacing w:before="60" w:after="60"/>
              <w:jc w:val="right"/>
              <w:rPr>
                <w:rFonts w:cs="Arial"/>
                <w:szCs w:val="20"/>
                <w:lang w:val="en-US"/>
              </w:rPr>
            </w:pPr>
            <w:r w:rsidRPr="00DE4140">
              <w:rPr>
                <w:rFonts w:cs="Arial"/>
                <w:szCs w:val="20"/>
              </w:rPr>
              <w:t>2</w:t>
            </w:r>
          </w:p>
        </w:tc>
        <w:tc>
          <w:tcPr>
            <w:tcW w:w="415" w:type="dxa"/>
            <w:tcBorders>
              <w:top w:val="nil"/>
              <w:bottom w:val="nil"/>
            </w:tcBorders>
          </w:tcPr>
          <w:p w14:paraId="3BCA4D57" w14:textId="77777777" w:rsidR="00DB2EDF" w:rsidRPr="00224AA8" w:rsidRDefault="00DB2EDF" w:rsidP="00DB2EDF">
            <w:pPr>
              <w:spacing w:before="60" w:after="60"/>
              <w:rPr>
                <w:rFonts w:cs="Arial"/>
                <w:szCs w:val="20"/>
                <w:lang w:val="en-US"/>
              </w:rPr>
            </w:pPr>
          </w:p>
        </w:tc>
        <w:tc>
          <w:tcPr>
            <w:tcW w:w="2608" w:type="dxa"/>
            <w:vAlign w:val="bottom"/>
          </w:tcPr>
          <w:p w14:paraId="5B05E429" w14:textId="129B5418" w:rsidR="00DB2EDF" w:rsidRPr="00DE4140" w:rsidRDefault="00DB2EDF" w:rsidP="00DB2EDF">
            <w:pPr>
              <w:spacing w:before="60" w:after="60"/>
              <w:rPr>
                <w:rFonts w:cs="Arial"/>
                <w:szCs w:val="20"/>
                <w:lang w:val="en-US"/>
              </w:rPr>
            </w:pPr>
            <w:r w:rsidRPr="007E43F3">
              <w:rPr>
                <w:rFonts w:cs="Arial"/>
                <w:szCs w:val="20"/>
              </w:rPr>
              <w:t>DVO,MAG</w:t>
            </w:r>
          </w:p>
        </w:tc>
        <w:tc>
          <w:tcPr>
            <w:tcW w:w="1394" w:type="dxa"/>
            <w:vAlign w:val="bottom"/>
          </w:tcPr>
          <w:p w14:paraId="0C0EE5C5" w14:textId="4F7D68A1" w:rsidR="00DB2EDF" w:rsidRPr="00DE4140" w:rsidRDefault="00DB2EDF" w:rsidP="00DB2EDF">
            <w:pPr>
              <w:spacing w:before="60" w:after="60"/>
              <w:jc w:val="right"/>
              <w:rPr>
                <w:rFonts w:cs="Arial"/>
                <w:szCs w:val="20"/>
                <w:lang w:val="en-US"/>
              </w:rPr>
            </w:pPr>
            <w:r w:rsidRPr="007E43F3">
              <w:rPr>
                <w:rFonts w:cs="Arial"/>
                <w:szCs w:val="20"/>
              </w:rPr>
              <w:t>50</w:t>
            </w:r>
          </w:p>
        </w:tc>
      </w:tr>
      <w:tr w:rsidR="00DB2EDF" w:rsidRPr="00224AA8" w14:paraId="4C037730" w14:textId="77777777" w:rsidTr="00594D14">
        <w:trPr>
          <w:trHeight w:val="300"/>
        </w:trPr>
        <w:tc>
          <w:tcPr>
            <w:tcW w:w="2689" w:type="dxa"/>
            <w:vAlign w:val="bottom"/>
          </w:tcPr>
          <w:p w14:paraId="0F2DDEB7" w14:textId="0D97CE89" w:rsidR="00DB2EDF" w:rsidRPr="00DE4140" w:rsidRDefault="00DB2EDF" w:rsidP="00DB2EDF">
            <w:pPr>
              <w:spacing w:before="60" w:after="60"/>
              <w:rPr>
                <w:rFonts w:cs="Arial"/>
                <w:szCs w:val="20"/>
                <w:lang w:val="en-US"/>
              </w:rPr>
            </w:pPr>
            <w:r w:rsidRPr="007E43F3">
              <w:rPr>
                <w:rFonts w:cs="Arial"/>
                <w:szCs w:val="20"/>
              </w:rPr>
              <w:t>CS,DVO,MAG</w:t>
            </w:r>
          </w:p>
        </w:tc>
        <w:tc>
          <w:tcPr>
            <w:tcW w:w="1394" w:type="dxa"/>
            <w:vAlign w:val="bottom"/>
          </w:tcPr>
          <w:p w14:paraId="6DC5CCC6" w14:textId="543D460F" w:rsidR="00DB2EDF" w:rsidRPr="00DE4140" w:rsidRDefault="00DB2EDF" w:rsidP="00DB2EDF">
            <w:pPr>
              <w:spacing w:before="60" w:after="60"/>
              <w:jc w:val="right"/>
              <w:rPr>
                <w:rFonts w:cs="Arial"/>
                <w:szCs w:val="20"/>
                <w:lang w:val="en-US"/>
              </w:rPr>
            </w:pPr>
            <w:r w:rsidRPr="00DE4140">
              <w:rPr>
                <w:rFonts w:cs="Arial"/>
                <w:szCs w:val="20"/>
              </w:rPr>
              <w:t>2</w:t>
            </w:r>
          </w:p>
        </w:tc>
        <w:tc>
          <w:tcPr>
            <w:tcW w:w="415" w:type="dxa"/>
            <w:tcBorders>
              <w:top w:val="nil"/>
              <w:bottom w:val="nil"/>
            </w:tcBorders>
          </w:tcPr>
          <w:p w14:paraId="584DADE8" w14:textId="77777777" w:rsidR="00DB2EDF" w:rsidRPr="00224AA8" w:rsidRDefault="00DB2EDF" w:rsidP="00DB2EDF">
            <w:pPr>
              <w:spacing w:before="60" w:after="60"/>
              <w:rPr>
                <w:rFonts w:cs="Arial"/>
                <w:szCs w:val="20"/>
                <w:lang w:val="en-US"/>
              </w:rPr>
            </w:pPr>
          </w:p>
        </w:tc>
        <w:tc>
          <w:tcPr>
            <w:tcW w:w="2608" w:type="dxa"/>
            <w:vAlign w:val="bottom"/>
          </w:tcPr>
          <w:p w14:paraId="37157F5D" w14:textId="4BFC468D" w:rsidR="00DB2EDF" w:rsidRPr="00DE4140" w:rsidRDefault="00DB2EDF" w:rsidP="00DB2EDF">
            <w:pPr>
              <w:spacing w:before="60" w:after="60"/>
              <w:rPr>
                <w:rFonts w:cs="Arial"/>
                <w:szCs w:val="20"/>
                <w:lang w:val="en-US"/>
              </w:rPr>
            </w:pPr>
            <w:r w:rsidRPr="007E43F3">
              <w:rPr>
                <w:rFonts w:cs="Arial"/>
                <w:szCs w:val="20"/>
              </w:rPr>
              <w:t>EQ,HT</w:t>
            </w:r>
          </w:p>
        </w:tc>
        <w:tc>
          <w:tcPr>
            <w:tcW w:w="1394" w:type="dxa"/>
            <w:vAlign w:val="bottom"/>
          </w:tcPr>
          <w:p w14:paraId="4EC3E3B5" w14:textId="2225B69C" w:rsidR="00DB2EDF" w:rsidRPr="00DE4140" w:rsidRDefault="00DB2EDF" w:rsidP="00DB2EDF">
            <w:pPr>
              <w:spacing w:before="60" w:after="60"/>
              <w:jc w:val="right"/>
              <w:rPr>
                <w:rFonts w:cs="Arial"/>
                <w:szCs w:val="20"/>
                <w:lang w:val="en-US"/>
              </w:rPr>
            </w:pPr>
            <w:r w:rsidRPr="007E43F3">
              <w:rPr>
                <w:rFonts w:cs="Arial"/>
                <w:szCs w:val="20"/>
              </w:rPr>
              <w:t>2</w:t>
            </w:r>
          </w:p>
        </w:tc>
      </w:tr>
      <w:tr w:rsidR="00DB2EDF" w:rsidRPr="00224AA8" w14:paraId="51BE94D5" w14:textId="77777777" w:rsidTr="00594D14">
        <w:trPr>
          <w:trHeight w:val="300"/>
        </w:trPr>
        <w:tc>
          <w:tcPr>
            <w:tcW w:w="2689" w:type="dxa"/>
            <w:vAlign w:val="bottom"/>
          </w:tcPr>
          <w:p w14:paraId="3C003D83" w14:textId="47137FF4" w:rsidR="00DB2EDF" w:rsidRPr="00DE4140" w:rsidRDefault="00DB2EDF" w:rsidP="00DB2EDF">
            <w:pPr>
              <w:spacing w:before="60" w:after="60"/>
              <w:rPr>
                <w:rFonts w:cs="Arial"/>
                <w:szCs w:val="20"/>
                <w:lang w:val="en-US"/>
              </w:rPr>
            </w:pPr>
            <w:r w:rsidRPr="007E43F3">
              <w:rPr>
                <w:rFonts w:cs="Arial"/>
                <w:szCs w:val="20"/>
              </w:rPr>
              <w:t>CS,EQ</w:t>
            </w:r>
          </w:p>
        </w:tc>
        <w:tc>
          <w:tcPr>
            <w:tcW w:w="1394" w:type="dxa"/>
            <w:vAlign w:val="bottom"/>
          </w:tcPr>
          <w:p w14:paraId="70449298" w14:textId="46E32DB7" w:rsidR="00DB2EDF" w:rsidRPr="00DE4140" w:rsidRDefault="00DB2EDF" w:rsidP="00DB2EDF">
            <w:pPr>
              <w:spacing w:before="60" w:after="60"/>
              <w:jc w:val="right"/>
              <w:rPr>
                <w:rFonts w:cs="Arial"/>
                <w:szCs w:val="20"/>
                <w:lang w:val="en-US"/>
              </w:rPr>
            </w:pPr>
            <w:r w:rsidRPr="00DE4140">
              <w:rPr>
                <w:rFonts w:cs="Arial"/>
                <w:szCs w:val="20"/>
              </w:rPr>
              <w:t>54</w:t>
            </w:r>
          </w:p>
        </w:tc>
        <w:tc>
          <w:tcPr>
            <w:tcW w:w="415" w:type="dxa"/>
            <w:tcBorders>
              <w:top w:val="nil"/>
              <w:bottom w:val="nil"/>
            </w:tcBorders>
          </w:tcPr>
          <w:p w14:paraId="11B8C06A" w14:textId="77777777" w:rsidR="00DB2EDF" w:rsidRPr="00224AA8" w:rsidRDefault="00DB2EDF" w:rsidP="00DB2EDF">
            <w:pPr>
              <w:spacing w:before="60" w:after="60"/>
              <w:rPr>
                <w:rFonts w:cs="Arial"/>
                <w:szCs w:val="20"/>
                <w:lang w:val="en-US"/>
              </w:rPr>
            </w:pPr>
          </w:p>
        </w:tc>
        <w:tc>
          <w:tcPr>
            <w:tcW w:w="2608" w:type="dxa"/>
            <w:vAlign w:val="bottom"/>
          </w:tcPr>
          <w:p w14:paraId="77BA6B43" w14:textId="688D4940" w:rsidR="00DB2EDF" w:rsidRPr="00DE4140" w:rsidRDefault="00DB2EDF" w:rsidP="00DB2EDF">
            <w:pPr>
              <w:spacing w:before="60" w:after="60"/>
              <w:rPr>
                <w:rFonts w:cs="Arial"/>
                <w:szCs w:val="20"/>
                <w:lang w:val="en-US"/>
              </w:rPr>
            </w:pPr>
            <w:r w:rsidRPr="007E43F3">
              <w:rPr>
                <w:rFonts w:cs="Arial"/>
                <w:szCs w:val="20"/>
              </w:rPr>
              <w:t>EQ,MAG</w:t>
            </w:r>
          </w:p>
        </w:tc>
        <w:tc>
          <w:tcPr>
            <w:tcW w:w="1394" w:type="dxa"/>
            <w:vAlign w:val="bottom"/>
          </w:tcPr>
          <w:p w14:paraId="45B1D17D" w14:textId="0711132B" w:rsidR="00DB2EDF" w:rsidRPr="00DE4140" w:rsidRDefault="00DB2EDF" w:rsidP="00DB2EDF">
            <w:pPr>
              <w:spacing w:before="60" w:after="60"/>
              <w:jc w:val="right"/>
              <w:rPr>
                <w:rFonts w:cs="Arial"/>
                <w:szCs w:val="20"/>
                <w:lang w:val="en-US"/>
              </w:rPr>
            </w:pPr>
            <w:r w:rsidRPr="007E43F3">
              <w:rPr>
                <w:rFonts w:cs="Arial"/>
                <w:szCs w:val="20"/>
              </w:rPr>
              <w:t>4</w:t>
            </w:r>
            <w:r w:rsidR="00517644">
              <w:rPr>
                <w:rFonts w:cs="Arial"/>
                <w:szCs w:val="20"/>
              </w:rPr>
              <w:t>4</w:t>
            </w:r>
          </w:p>
        </w:tc>
      </w:tr>
      <w:tr w:rsidR="00DB2EDF" w:rsidRPr="00224AA8" w14:paraId="589BE6CD" w14:textId="77777777" w:rsidTr="00594D14">
        <w:trPr>
          <w:trHeight w:val="300"/>
        </w:trPr>
        <w:tc>
          <w:tcPr>
            <w:tcW w:w="2689" w:type="dxa"/>
            <w:vAlign w:val="bottom"/>
          </w:tcPr>
          <w:p w14:paraId="176082DA" w14:textId="76478892" w:rsidR="00DB2EDF" w:rsidRPr="00DE4140" w:rsidRDefault="00DB2EDF" w:rsidP="00DB2EDF">
            <w:pPr>
              <w:spacing w:before="60" w:after="60"/>
              <w:rPr>
                <w:rFonts w:cs="Arial"/>
                <w:szCs w:val="20"/>
                <w:lang w:val="en-US"/>
              </w:rPr>
            </w:pPr>
            <w:r w:rsidRPr="007E43F3">
              <w:rPr>
                <w:rFonts w:cs="Arial"/>
                <w:szCs w:val="20"/>
              </w:rPr>
              <w:t>CS,EQ,HT</w:t>
            </w:r>
          </w:p>
        </w:tc>
        <w:tc>
          <w:tcPr>
            <w:tcW w:w="1394" w:type="dxa"/>
            <w:vAlign w:val="bottom"/>
          </w:tcPr>
          <w:p w14:paraId="6C88A602" w14:textId="4AD91456" w:rsidR="00DB2EDF" w:rsidRPr="00DE4140" w:rsidRDefault="00DB2EDF" w:rsidP="00DB2EDF">
            <w:pPr>
              <w:spacing w:before="60" w:after="60"/>
              <w:jc w:val="right"/>
              <w:rPr>
                <w:rFonts w:cs="Arial"/>
                <w:szCs w:val="20"/>
                <w:lang w:val="en-US"/>
              </w:rPr>
            </w:pPr>
            <w:r w:rsidRPr="00DE4140">
              <w:rPr>
                <w:rFonts w:cs="Arial"/>
                <w:szCs w:val="20"/>
              </w:rPr>
              <w:t>1</w:t>
            </w:r>
          </w:p>
        </w:tc>
        <w:tc>
          <w:tcPr>
            <w:tcW w:w="415" w:type="dxa"/>
            <w:tcBorders>
              <w:top w:val="nil"/>
              <w:bottom w:val="nil"/>
            </w:tcBorders>
          </w:tcPr>
          <w:p w14:paraId="51557923" w14:textId="77777777" w:rsidR="00DB2EDF" w:rsidRPr="00224AA8" w:rsidRDefault="00DB2EDF" w:rsidP="00DB2EDF">
            <w:pPr>
              <w:spacing w:before="60" w:after="60"/>
              <w:rPr>
                <w:rFonts w:cs="Arial"/>
                <w:szCs w:val="20"/>
                <w:lang w:val="en-US"/>
              </w:rPr>
            </w:pPr>
          </w:p>
        </w:tc>
        <w:tc>
          <w:tcPr>
            <w:tcW w:w="2608" w:type="dxa"/>
            <w:vAlign w:val="bottom"/>
          </w:tcPr>
          <w:p w14:paraId="57150875" w14:textId="3C21D7FB" w:rsidR="00DB2EDF" w:rsidRPr="00DE4140" w:rsidRDefault="00DB2EDF" w:rsidP="00DB2EDF">
            <w:pPr>
              <w:spacing w:before="60" w:after="60"/>
              <w:rPr>
                <w:rFonts w:cs="Arial"/>
                <w:szCs w:val="20"/>
                <w:lang w:val="en-US"/>
              </w:rPr>
            </w:pPr>
            <w:r w:rsidRPr="007E43F3">
              <w:rPr>
                <w:rFonts w:cs="Arial"/>
                <w:szCs w:val="20"/>
              </w:rPr>
              <w:t>EQ,SEN</w:t>
            </w:r>
          </w:p>
        </w:tc>
        <w:tc>
          <w:tcPr>
            <w:tcW w:w="1394" w:type="dxa"/>
            <w:vAlign w:val="bottom"/>
          </w:tcPr>
          <w:p w14:paraId="5CF25B0D" w14:textId="1243456B" w:rsidR="00DB2EDF" w:rsidRPr="00DE4140" w:rsidRDefault="00DB2EDF" w:rsidP="00DB2EDF">
            <w:pPr>
              <w:spacing w:before="60" w:after="60"/>
              <w:jc w:val="right"/>
              <w:rPr>
                <w:rFonts w:cs="Arial"/>
                <w:szCs w:val="20"/>
                <w:lang w:val="en-US"/>
              </w:rPr>
            </w:pPr>
            <w:r w:rsidRPr="007E43F3">
              <w:rPr>
                <w:rFonts w:cs="Arial"/>
                <w:szCs w:val="20"/>
              </w:rPr>
              <w:t>2</w:t>
            </w:r>
          </w:p>
        </w:tc>
      </w:tr>
      <w:tr w:rsidR="00DB2EDF" w:rsidRPr="00224AA8" w14:paraId="68BB206B" w14:textId="77777777" w:rsidTr="00594D14">
        <w:trPr>
          <w:trHeight w:val="300"/>
        </w:trPr>
        <w:tc>
          <w:tcPr>
            <w:tcW w:w="2689" w:type="dxa"/>
            <w:vAlign w:val="bottom"/>
          </w:tcPr>
          <w:p w14:paraId="6FF22195" w14:textId="37427DD4" w:rsidR="00DB2EDF" w:rsidRPr="00DE4140" w:rsidRDefault="00DB2EDF" w:rsidP="00DB2EDF">
            <w:pPr>
              <w:spacing w:before="60" w:after="60"/>
              <w:rPr>
                <w:rFonts w:cs="Arial"/>
                <w:szCs w:val="20"/>
              </w:rPr>
            </w:pPr>
            <w:r w:rsidRPr="007E43F3">
              <w:rPr>
                <w:rFonts w:cs="Arial"/>
                <w:szCs w:val="20"/>
              </w:rPr>
              <w:t>CS,EQ,MAG</w:t>
            </w:r>
          </w:p>
        </w:tc>
        <w:tc>
          <w:tcPr>
            <w:tcW w:w="1394" w:type="dxa"/>
            <w:vAlign w:val="bottom"/>
          </w:tcPr>
          <w:p w14:paraId="36FF4C89" w14:textId="5500FD7D" w:rsidR="00DB2EDF" w:rsidRPr="00DE4140" w:rsidRDefault="00DB2EDF" w:rsidP="00DB2EDF">
            <w:pPr>
              <w:spacing w:before="60" w:after="60"/>
              <w:jc w:val="right"/>
              <w:rPr>
                <w:rFonts w:cs="Arial"/>
                <w:szCs w:val="20"/>
              </w:rPr>
            </w:pPr>
            <w:r w:rsidRPr="00DE4140">
              <w:rPr>
                <w:rFonts w:cs="Arial"/>
                <w:szCs w:val="20"/>
              </w:rPr>
              <w:t>20</w:t>
            </w:r>
          </w:p>
        </w:tc>
        <w:tc>
          <w:tcPr>
            <w:tcW w:w="415" w:type="dxa"/>
            <w:tcBorders>
              <w:top w:val="nil"/>
              <w:bottom w:val="nil"/>
            </w:tcBorders>
          </w:tcPr>
          <w:p w14:paraId="7B2803E6" w14:textId="77777777" w:rsidR="00DB2EDF" w:rsidRPr="00224AA8" w:rsidRDefault="00DB2EDF" w:rsidP="00DB2EDF">
            <w:pPr>
              <w:spacing w:before="60" w:after="60"/>
              <w:rPr>
                <w:rFonts w:cs="Arial"/>
                <w:szCs w:val="20"/>
                <w:lang w:val="en-US"/>
              </w:rPr>
            </w:pPr>
          </w:p>
        </w:tc>
        <w:tc>
          <w:tcPr>
            <w:tcW w:w="2608" w:type="dxa"/>
            <w:vAlign w:val="bottom"/>
          </w:tcPr>
          <w:p w14:paraId="492A907B" w14:textId="650E82F3" w:rsidR="00DB2EDF" w:rsidRPr="00DE4140" w:rsidRDefault="00DB2EDF" w:rsidP="00DB2EDF">
            <w:pPr>
              <w:spacing w:before="60" w:after="60"/>
              <w:rPr>
                <w:rFonts w:cs="Arial"/>
                <w:szCs w:val="20"/>
              </w:rPr>
            </w:pPr>
            <w:r w:rsidRPr="007E43F3">
              <w:rPr>
                <w:rFonts w:cs="Arial"/>
                <w:szCs w:val="20"/>
              </w:rPr>
              <w:t>MAG,SEN</w:t>
            </w:r>
          </w:p>
        </w:tc>
        <w:tc>
          <w:tcPr>
            <w:tcW w:w="1394" w:type="dxa"/>
            <w:vAlign w:val="bottom"/>
          </w:tcPr>
          <w:p w14:paraId="00F59754" w14:textId="5B1937CA" w:rsidR="00DB2EDF" w:rsidRPr="00DE4140" w:rsidRDefault="00DB2EDF" w:rsidP="00DB2EDF">
            <w:pPr>
              <w:spacing w:before="60" w:after="60"/>
              <w:jc w:val="right"/>
              <w:rPr>
                <w:rFonts w:cs="Arial"/>
                <w:szCs w:val="20"/>
              </w:rPr>
            </w:pPr>
            <w:r w:rsidRPr="007E43F3">
              <w:rPr>
                <w:rFonts w:cs="Arial"/>
                <w:szCs w:val="20"/>
              </w:rPr>
              <w:t>1</w:t>
            </w:r>
          </w:p>
        </w:tc>
      </w:tr>
      <w:tr w:rsidR="00DB2EDF" w:rsidRPr="00224AA8" w14:paraId="3999434A" w14:textId="77777777" w:rsidTr="00594D14">
        <w:trPr>
          <w:trHeight w:val="300"/>
        </w:trPr>
        <w:tc>
          <w:tcPr>
            <w:tcW w:w="2689" w:type="dxa"/>
            <w:vAlign w:val="bottom"/>
          </w:tcPr>
          <w:p w14:paraId="6DD79DD5" w14:textId="102DB273" w:rsidR="00DB2EDF" w:rsidRPr="00DE4140" w:rsidRDefault="00DB2EDF" w:rsidP="00DB2EDF">
            <w:pPr>
              <w:spacing w:before="60" w:after="60"/>
              <w:rPr>
                <w:rFonts w:cs="Arial"/>
                <w:szCs w:val="20"/>
              </w:rPr>
            </w:pPr>
            <w:r w:rsidRPr="007E43F3">
              <w:rPr>
                <w:rFonts w:cs="Arial"/>
                <w:szCs w:val="20"/>
              </w:rPr>
              <w:t>CS,EQ,SEN</w:t>
            </w:r>
          </w:p>
        </w:tc>
        <w:tc>
          <w:tcPr>
            <w:tcW w:w="1394" w:type="dxa"/>
            <w:vAlign w:val="bottom"/>
          </w:tcPr>
          <w:p w14:paraId="03CEEE71" w14:textId="2384B241" w:rsidR="00DB2EDF" w:rsidRPr="00DE4140" w:rsidRDefault="00DB2EDF" w:rsidP="00DB2EDF">
            <w:pPr>
              <w:spacing w:before="60" w:after="60"/>
              <w:jc w:val="right"/>
              <w:rPr>
                <w:rFonts w:cs="Arial"/>
                <w:szCs w:val="20"/>
              </w:rPr>
            </w:pPr>
            <w:r w:rsidRPr="00DE4140">
              <w:rPr>
                <w:rFonts w:cs="Arial"/>
                <w:szCs w:val="20"/>
              </w:rPr>
              <w:t>2</w:t>
            </w:r>
          </w:p>
        </w:tc>
        <w:tc>
          <w:tcPr>
            <w:tcW w:w="415" w:type="dxa"/>
            <w:tcBorders>
              <w:top w:val="nil"/>
              <w:bottom w:val="nil"/>
            </w:tcBorders>
          </w:tcPr>
          <w:p w14:paraId="349E147B" w14:textId="77777777" w:rsidR="00DB2EDF" w:rsidRPr="00224AA8" w:rsidRDefault="00DB2EDF" w:rsidP="00DB2EDF">
            <w:pPr>
              <w:spacing w:before="60" w:after="60"/>
              <w:rPr>
                <w:rFonts w:cs="Arial"/>
                <w:szCs w:val="20"/>
                <w:lang w:val="en-US"/>
              </w:rPr>
            </w:pPr>
          </w:p>
        </w:tc>
        <w:tc>
          <w:tcPr>
            <w:tcW w:w="2608" w:type="dxa"/>
            <w:vAlign w:val="bottom"/>
          </w:tcPr>
          <w:p w14:paraId="2F848BB3" w14:textId="77777777" w:rsidR="00DB2EDF" w:rsidRPr="00DE4140" w:rsidRDefault="00DB2EDF" w:rsidP="00DB2EDF">
            <w:pPr>
              <w:spacing w:before="60" w:after="60"/>
              <w:rPr>
                <w:rFonts w:cs="Arial"/>
                <w:szCs w:val="20"/>
              </w:rPr>
            </w:pPr>
          </w:p>
        </w:tc>
        <w:tc>
          <w:tcPr>
            <w:tcW w:w="1394" w:type="dxa"/>
            <w:vAlign w:val="bottom"/>
          </w:tcPr>
          <w:p w14:paraId="0AF023C7" w14:textId="77777777" w:rsidR="00DB2EDF" w:rsidRPr="00DE4140" w:rsidRDefault="00DB2EDF" w:rsidP="00DB2EDF">
            <w:pPr>
              <w:spacing w:before="60" w:after="60"/>
              <w:jc w:val="right"/>
              <w:rPr>
                <w:rFonts w:cs="Arial"/>
                <w:szCs w:val="20"/>
              </w:rPr>
            </w:pPr>
          </w:p>
        </w:tc>
      </w:tr>
      <w:tr w:rsidR="00DB2EDF" w:rsidRPr="00224AA8" w14:paraId="2F9054ED" w14:textId="77777777" w:rsidTr="00594D14">
        <w:trPr>
          <w:trHeight w:val="300"/>
        </w:trPr>
        <w:tc>
          <w:tcPr>
            <w:tcW w:w="2689" w:type="dxa"/>
          </w:tcPr>
          <w:p w14:paraId="47B737FD" w14:textId="72FB2BF8" w:rsidR="00DB2EDF" w:rsidRPr="00224AA8" w:rsidRDefault="00DB2EDF" w:rsidP="00DB2EDF">
            <w:pPr>
              <w:spacing w:before="60" w:after="60"/>
              <w:rPr>
                <w:b/>
                <w:bCs/>
                <w:lang w:val="en-US"/>
              </w:rPr>
            </w:pPr>
            <w:r w:rsidRPr="00224AA8">
              <w:rPr>
                <w:b/>
                <w:bCs/>
                <w:lang w:val="en-US"/>
              </w:rPr>
              <w:t>Total</w:t>
            </w:r>
          </w:p>
        </w:tc>
        <w:tc>
          <w:tcPr>
            <w:tcW w:w="1394" w:type="dxa"/>
          </w:tcPr>
          <w:p w14:paraId="5AEBB109" w14:textId="77777777" w:rsidR="00DB2EDF" w:rsidRPr="00224AA8" w:rsidRDefault="00DB2EDF" w:rsidP="00DB2EDF">
            <w:pPr>
              <w:spacing w:before="60" w:after="60"/>
              <w:jc w:val="right"/>
              <w:rPr>
                <w:lang w:val="en-US"/>
              </w:rPr>
            </w:pPr>
          </w:p>
        </w:tc>
        <w:tc>
          <w:tcPr>
            <w:tcW w:w="415" w:type="dxa"/>
            <w:tcBorders>
              <w:top w:val="nil"/>
              <w:bottom w:val="nil"/>
            </w:tcBorders>
          </w:tcPr>
          <w:p w14:paraId="1EF39517" w14:textId="77777777" w:rsidR="00DB2EDF" w:rsidRPr="00224AA8" w:rsidRDefault="00DB2EDF" w:rsidP="00DB2EDF">
            <w:pPr>
              <w:spacing w:before="60" w:after="60"/>
              <w:rPr>
                <w:lang w:val="en-US"/>
              </w:rPr>
            </w:pPr>
          </w:p>
        </w:tc>
        <w:tc>
          <w:tcPr>
            <w:tcW w:w="2608" w:type="dxa"/>
          </w:tcPr>
          <w:p w14:paraId="01AB5FA3" w14:textId="77777777" w:rsidR="00DB2EDF" w:rsidRPr="00DE4140" w:rsidRDefault="00DB2EDF" w:rsidP="00DB2EDF">
            <w:pPr>
              <w:spacing w:before="60" w:after="60"/>
              <w:rPr>
                <w:rFonts w:cs="Arial"/>
                <w:szCs w:val="20"/>
                <w:lang w:val="en-US"/>
              </w:rPr>
            </w:pPr>
          </w:p>
        </w:tc>
        <w:tc>
          <w:tcPr>
            <w:tcW w:w="1394" w:type="dxa"/>
          </w:tcPr>
          <w:p w14:paraId="2680A03F" w14:textId="36E6585C" w:rsidR="00DB2EDF" w:rsidRPr="00DE4140" w:rsidRDefault="00DB2EDF" w:rsidP="00DB2EDF">
            <w:pPr>
              <w:spacing w:before="60" w:after="60"/>
              <w:jc w:val="right"/>
              <w:rPr>
                <w:rFonts w:cs="Arial"/>
                <w:b/>
                <w:bCs/>
                <w:szCs w:val="20"/>
                <w:lang w:val="en-US"/>
              </w:rPr>
            </w:pPr>
            <w:r w:rsidRPr="00DE4140">
              <w:rPr>
                <w:rFonts w:cs="Arial"/>
                <w:b/>
                <w:bCs/>
                <w:szCs w:val="20"/>
                <w:lang w:val="en-US"/>
              </w:rPr>
              <w:t>287</w:t>
            </w:r>
          </w:p>
        </w:tc>
      </w:tr>
    </w:tbl>
    <w:p w14:paraId="4F16CFE1" w14:textId="77777777" w:rsidR="006B6F53" w:rsidRPr="00224AA8" w:rsidRDefault="006B6F53" w:rsidP="006B6F53">
      <w:pPr>
        <w:rPr>
          <w:lang w:val="en-US"/>
        </w:rPr>
      </w:pPr>
    </w:p>
    <w:p w14:paraId="3931C507" w14:textId="77777777" w:rsidR="006B6F53" w:rsidRPr="00224AA8" w:rsidRDefault="006B6F53" w:rsidP="006B6F53">
      <w:pPr>
        <w:spacing w:after="160" w:line="259" w:lineRule="auto"/>
        <w:rPr>
          <w:lang w:val="en-US"/>
        </w:rPr>
      </w:pPr>
      <w:r w:rsidRPr="00224AA8">
        <w:rPr>
          <w:lang w:val="en-US"/>
        </w:rPr>
        <w:br w:type="page"/>
      </w:r>
    </w:p>
    <w:p w14:paraId="45931F9A" w14:textId="77777777" w:rsidR="00A97391" w:rsidRPr="00224AA8" w:rsidRDefault="00A97391" w:rsidP="00A97391">
      <w:pPr>
        <w:rPr>
          <w:lang w:val="en-US"/>
        </w:rPr>
      </w:pPr>
      <w:r w:rsidRPr="00224AA8">
        <w:rPr>
          <w:lang w:val="en-US"/>
        </w:rPr>
        <w:lastRenderedPageBreak/>
        <w:t>Most FRC conferences respond to high levels of complexity in terms of client needs. The FRC primarily deal</w:t>
      </w:r>
      <w:r>
        <w:rPr>
          <w:lang w:val="en-US"/>
        </w:rPr>
        <w:t>s</w:t>
      </w:r>
      <w:r w:rsidRPr="00224AA8">
        <w:rPr>
          <w:lang w:val="en-US"/>
        </w:rPr>
        <w:t xml:space="preserve"> with clients who suffer multiple and entrenched forms of disadvantage. </w:t>
      </w:r>
      <w:r>
        <w:rPr>
          <w:lang w:val="en-US"/>
        </w:rPr>
        <w:t xml:space="preserve">Within </w:t>
      </w:r>
      <w:r w:rsidRPr="00224AA8">
        <w:rPr>
          <w:lang w:val="en-US"/>
        </w:rPr>
        <w:t>this cohort</w:t>
      </w:r>
      <w:r>
        <w:rPr>
          <w:lang w:val="en-US"/>
        </w:rPr>
        <w:t xml:space="preserve"> there are</w:t>
      </w:r>
      <w:r w:rsidRPr="00224AA8">
        <w:rPr>
          <w:lang w:val="en-US"/>
        </w:rPr>
        <w:t xml:space="preserve"> clients who experience extreme complex disadvantage and are also unable or reluctant to seek support. In addition to the substantial work and preparation undertaken before every conference, the most complex matters represent a further ‘step up’ in the related workload. Conferencing such clients makes higher demands of the FRC to respond. The FRC has experienced a</w:t>
      </w:r>
      <w:r>
        <w:rPr>
          <w:lang w:val="en-US"/>
        </w:rPr>
        <w:t xml:space="preserve"> decrease </w:t>
      </w:r>
      <w:r w:rsidRPr="00224AA8">
        <w:rPr>
          <w:lang w:val="en-US"/>
        </w:rPr>
        <w:t xml:space="preserve">in the percentage of conferences conducted that are considered complex (whether it is multiple notices of the same type or multiple types of different notices) </w:t>
      </w:r>
      <w:r>
        <w:rPr>
          <w:lang w:val="en-US"/>
        </w:rPr>
        <w:t xml:space="preserve">in 2024-25 compared to </w:t>
      </w:r>
      <w:r w:rsidRPr="00224AA8">
        <w:rPr>
          <w:lang w:val="en-US"/>
        </w:rPr>
        <w:t xml:space="preserve">the </w:t>
      </w:r>
      <w:r>
        <w:rPr>
          <w:lang w:val="en-US"/>
        </w:rPr>
        <w:t>prior</w:t>
      </w:r>
      <w:r w:rsidRPr="00224AA8">
        <w:rPr>
          <w:lang w:val="en-US"/>
        </w:rPr>
        <w:t xml:space="preserve"> three financial years.</w:t>
      </w:r>
    </w:p>
    <w:p w14:paraId="201BA46C" w14:textId="77777777" w:rsidR="006B6F53" w:rsidRPr="00224AA8" w:rsidRDefault="006B6F53" w:rsidP="006B6F53">
      <w:pPr>
        <w:rPr>
          <w:lang w:val="en-US"/>
        </w:rPr>
      </w:pPr>
      <w:r w:rsidRPr="00127A7F">
        <w:rPr>
          <w:noProof/>
          <w:lang w:val="en-US"/>
        </w:rPr>
        <w:drawing>
          <wp:anchor distT="0" distB="0" distL="114300" distR="114300" simplePos="0" relativeHeight="251670528" behindDoc="0" locked="0" layoutInCell="1" allowOverlap="1" wp14:anchorId="5224B482" wp14:editId="652DC726">
            <wp:simplePos x="0" y="0"/>
            <wp:positionH relativeFrom="margin">
              <wp:align>right</wp:align>
            </wp:positionH>
            <wp:positionV relativeFrom="paragraph">
              <wp:posOffset>200025</wp:posOffset>
            </wp:positionV>
            <wp:extent cx="5399405" cy="3289935"/>
            <wp:effectExtent l="0" t="0" r="0" b="5715"/>
            <wp:wrapSquare wrapText="bothSides"/>
            <wp:docPr id="15856587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9405" cy="32899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8494"/>
      </w:tblGrid>
      <w:tr w:rsidR="006B6F53" w:rsidRPr="00224AA8" w14:paraId="3C5263BE" w14:textId="77777777" w:rsidTr="00594D14">
        <w:trPr>
          <w:trHeight w:val="454"/>
        </w:trPr>
        <w:tc>
          <w:tcPr>
            <w:tcW w:w="8494" w:type="dxa"/>
            <w:shd w:val="clear" w:color="auto" w:fill="808080" w:themeFill="background1" w:themeFillShade="80"/>
          </w:tcPr>
          <w:p w14:paraId="5F7F93B5" w14:textId="77777777" w:rsidR="006B6F53" w:rsidRPr="00224AA8" w:rsidRDefault="006B6F53" w:rsidP="00594D14">
            <w:pPr>
              <w:spacing w:before="60" w:after="60"/>
              <w:rPr>
                <w:rFonts w:cs="Arial"/>
                <w:b/>
                <w:bCs/>
                <w:color w:val="FFFFFF" w:themeColor="background1"/>
                <w:sz w:val="17"/>
                <w:szCs w:val="17"/>
              </w:rPr>
            </w:pPr>
            <w:r w:rsidRPr="00224AA8">
              <w:rPr>
                <w:rFonts w:cs="Arial"/>
                <w:b/>
                <w:bCs/>
                <w:color w:val="FFFFFF" w:themeColor="background1"/>
                <w:sz w:val="17"/>
                <w:szCs w:val="17"/>
              </w:rPr>
              <w:t xml:space="preserve">Graph </w:t>
            </w:r>
            <w:r>
              <w:rPr>
                <w:rFonts w:cs="Arial"/>
                <w:b/>
                <w:bCs/>
                <w:color w:val="FFFFFF" w:themeColor="background1"/>
                <w:sz w:val="17"/>
                <w:szCs w:val="17"/>
              </w:rPr>
              <w:t>7</w:t>
            </w:r>
            <w:r w:rsidRPr="00224AA8">
              <w:rPr>
                <w:rFonts w:cs="Arial"/>
                <w:b/>
                <w:bCs/>
                <w:color w:val="FFFFFF" w:themeColor="background1"/>
                <w:sz w:val="17"/>
                <w:szCs w:val="17"/>
              </w:rPr>
              <w:t>: Complex conferencing by financial year</w:t>
            </w:r>
          </w:p>
        </w:tc>
      </w:tr>
    </w:tbl>
    <w:p w14:paraId="3FC93376" w14:textId="77777777" w:rsidR="006B6F53" w:rsidRPr="00224AA8" w:rsidRDefault="006B6F53" w:rsidP="006B6F53">
      <w:pPr>
        <w:rPr>
          <w:lang w:val="en-US"/>
        </w:rPr>
      </w:pPr>
    </w:p>
    <w:p w14:paraId="24C7FBA1" w14:textId="77777777" w:rsidR="006B6F53" w:rsidRDefault="006B6F53" w:rsidP="006B6F53">
      <w:pPr>
        <w:pStyle w:val="Heading3"/>
      </w:pPr>
      <w:r w:rsidRPr="00224AA8">
        <w:t>The FRC improves community wellbeing by supporting the restoration of socially responsible standards of behaviour.</w:t>
      </w:r>
    </w:p>
    <w:p w14:paraId="270D0716" w14:textId="77777777" w:rsidR="006B6F53" w:rsidRPr="00995539" w:rsidRDefault="006B6F53" w:rsidP="006B6F53">
      <w:pPr>
        <w:rPr>
          <w:lang w:val="en-US"/>
        </w:rPr>
      </w:pPr>
    </w:p>
    <w:p w14:paraId="39D5A84A" w14:textId="77777777" w:rsidR="006B6F53" w:rsidRPr="00BD4BEC" w:rsidRDefault="006B6F53" w:rsidP="006B6F53">
      <w:pPr>
        <w:pStyle w:val="Heading5"/>
      </w:pPr>
      <w:bookmarkStart w:id="4" w:name="_Hlk76996843"/>
      <w:r w:rsidRPr="00BD4BEC">
        <w:t>Conferenc</w:t>
      </w:r>
      <w:r>
        <w:t>ing</w:t>
      </w:r>
    </w:p>
    <w:p w14:paraId="4D06B39D" w14:textId="77777777" w:rsidR="00DE2993" w:rsidRDefault="00DE2993" w:rsidP="00DE2993">
      <w:r w:rsidRPr="00224AA8">
        <w:t>The FRC uses conferences as a forum to discuss with clients the issues outlined in an agency notice/s. Conferences are held in a manner which facilitates early intervention and encourages clients to take personal responsibility for their actions. From 1 July 202</w:t>
      </w:r>
      <w:r>
        <w:t>4</w:t>
      </w:r>
      <w:r w:rsidRPr="00224AA8">
        <w:t xml:space="preserve"> to 30 June 202</w:t>
      </w:r>
      <w:r>
        <w:t>5</w:t>
      </w:r>
      <w:r w:rsidRPr="00224AA8">
        <w:t xml:space="preserve"> a total of </w:t>
      </w:r>
      <w:r>
        <w:t>787</w:t>
      </w:r>
      <w:r w:rsidRPr="00224AA8">
        <w:t xml:space="preserve"> conferences were held relating to </w:t>
      </w:r>
      <w:r>
        <w:t>441</w:t>
      </w:r>
      <w:r w:rsidRPr="00224AA8">
        <w:t xml:space="preserve"> clients.</w:t>
      </w:r>
    </w:p>
    <w:p w14:paraId="1525701F" w14:textId="77777777" w:rsidR="00DE2993" w:rsidRPr="00224AA8" w:rsidRDefault="00DE2993" w:rsidP="00DE2993">
      <w:r w:rsidRPr="00224AA8">
        <w:t xml:space="preserve">Conferences during the financial year resulted in </w:t>
      </w:r>
      <w:r>
        <w:t>190</w:t>
      </w:r>
      <w:r w:rsidRPr="00224AA8">
        <w:t xml:space="preserve"> agreements to attend community support services (a</w:t>
      </w:r>
      <w:r>
        <w:t xml:space="preserve"> decrease </w:t>
      </w:r>
      <w:r w:rsidRPr="00224AA8">
        <w:t xml:space="preserve">of </w:t>
      </w:r>
      <w:r>
        <w:t>33</w:t>
      </w:r>
      <w:r w:rsidRPr="00224AA8">
        <w:t>% from 202</w:t>
      </w:r>
      <w:r>
        <w:t>3</w:t>
      </w:r>
      <w:r w:rsidRPr="00224AA8">
        <w:t>-2</w:t>
      </w:r>
      <w:r>
        <w:t>4</w:t>
      </w:r>
      <w:r w:rsidRPr="00224AA8">
        <w:t>), 10</w:t>
      </w:r>
      <w:r>
        <w:t>2</w:t>
      </w:r>
      <w:r w:rsidRPr="00224AA8">
        <w:t xml:space="preserve"> orders made to attend community support services (a</w:t>
      </w:r>
      <w:r>
        <w:t xml:space="preserve">n increase </w:t>
      </w:r>
      <w:r w:rsidRPr="00224AA8">
        <w:t xml:space="preserve">of 2% from the previous reporting period) and </w:t>
      </w:r>
      <w:r>
        <w:t>36</w:t>
      </w:r>
      <w:r w:rsidRPr="00224AA8">
        <w:t xml:space="preserve"> CIM orders issued (a </w:t>
      </w:r>
      <w:r>
        <w:t>33</w:t>
      </w:r>
      <w:r w:rsidRPr="00224AA8">
        <w:t>% decrease from the previous reporting period).</w:t>
      </w:r>
    </w:p>
    <w:p w14:paraId="2D1360A5" w14:textId="77777777" w:rsidR="006B6F53" w:rsidRPr="00224AA8" w:rsidRDefault="006B6F53" w:rsidP="006B6F53">
      <w:pPr>
        <w:spacing w:after="160" w:line="259" w:lineRule="auto"/>
        <w:rPr>
          <w:lang w:val="en-US"/>
        </w:rPr>
      </w:pPr>
      <w:r w:rsidRPr="00224AA8">
        <w:rPr>
          <w:lang w:val="en-US"/>
        </w:rPr>
        <w:br w:type="page"/>
      </w:r>
    </w:p>
    <w:p w14:paraId="5B6F77AD" w14:textId="77777777" w:rsidR="006B6F53" w:rsidRPr="00224AA8" w:rsidRDefault="006B6F53" w:rsidP="006B6F53">
      <w:pPr>
        <w:rPr>
          <w:rFonts w:cs="Arial"/>
          <w:b/>
          <w:bCs/>
          <w:szCs w:val="20"/>
          <w:lang w:val="en-US"/>
        </w:rPr>
      </w:pPr>
      <w:r w:rsidRPr="00224AA8">
        <w:rPr>
          <w:rFonts w:cs="Arial"/>
          <w:b/>
          <w:bCs/>
          <w:sz w:val="17"/>
          <w:szCs w:val="17"/>
          <w:lang w:val="en-US"/>
        </w:rPr>
        <w:lastRenderedPageBreak/>
        <w:t>Table 6: Conferences by community and quarter 1 July 202</w:t>
      </w:r>
      <w:r>
        <w:rPr>
          <w:rFonts w:cs="Arial"/>
          <w:b/>
          <w:bCs/>
          <w:sz w:val="17"/>
          <w:szCs w:val="17"/>
          <w:lang w:val="en-US"/>
        </w:rPr>
        <w:t>4</w:t>
      </w:r>
      <w:r w:rsidRPr="00224AA8">
        <w:rPr>
          <w:rFonts w:cs="Arial"/>
          <w:b/>
          <w:bCs/>
          <w:sz w:val="17"/>
          <w:szCs w:val="17"/>
          <w:lang w:val="en-US"/>
        </w:rPr>
        <w:t xml:space="preserve"> to 30 June 202</w:t>
      </w:r>
      <w:r>
        <w:rPr>
          <w:rFonts w:cs="Arial"/>
          <w:b/>
          <w:bCs/>
          <w:sz w:val="17"/>
          <w:szCs w:val="17"/>
          <w:lang w:val="en-US"/>
        </w:rPr>
        <w:t>5</w:t>
      </w:r>
    </w:p>
    <w:tbl>
      <w:tblPr>
        <w:tblW w:w="6374" w:type="dxa"/>
        <w:tblLayout w:type="fixed"/>
        <w:tblLook w:val="04A0" w:firstRow="1" w:lastRow="0" w:firstColumn="1" w:lastColumn="0" w:noHBand="0" w:noVBand="1"/>
      </w:tblPr>
      <w:tblGrid>
        <w:gridCol w:w="2119"/>
        <w:gridCol w:w="815"/>
        <w:gridCol w:w="816"/>
        <w:gridCol w:w="816"/>
        <w:gridCol w:w="816"/>
        <w:gridCol w:w="992"/>
      </w:tblGrid>
      <w:tr w:rsidR="006B6F53" w:rsidRPr="00224AA8" w14:paraId="69FE84D0" w14:textId="77777777" w:rsidTr="00594D14">
        <w:trPr>
          <w:trHeight w:val="284"/>
        </w:trPr>
        <w:tc>
          <w:tcPr>
            <w:tcW w:w="211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5E4F0A9A" w14:textId="77777777" w:rsidR="006B6F53" w:rsidRPr="00224AA8" w:rsidRDefault="006B6F53" w:rsidP="00594D14">
            <w:pPr>
              <w:rPr>
                <w:b/>
                <w:bCs/>
                <w:color w:val="FFFFFF" w:themeColor="background1"/>
              </w:rPr>
            </w:pPr>
            <w:r w:rsidRPr="00224AA8">
              <w:rPr>
                <w:b/>
                <w:bCs/>
                <w:color w:val="FFFFFF" w:themeColor="background1"/>
              </w:rPr>
              <w:t>Conferences</w:t>
            </w:r>
          </w:p>
        </w:tc>
        <w:tc>
          <w:tcPr>
            <w:tcW w:w="815" w:type="dxa"/>
            <w:tcBorders>
              <w:top w:val="single" w:sz="4" w:space="0" w:color="auto"/>
              <w:left w:val="nil"/>
              <w:bottom w:val="single" w:sz="4" w:space="0" w:color="auto"/>
              <w:right w:val="single" w:sz="4" w:space="0" w:color="auto"/>
            </w:tcBorders>
            <w:shd w:val="clear" w:color="auto" w:fill="808080" w:themeFill="background1" w:themeFillShade="80"/>
          </w:tcPr>
          <w:p w14:paraId="19569F39" w14:textId="77777777" w:rsidR="006B6F53" w:rsidRPr="00224AA8" w:rsidRDefault="006B6F53" w:rsidP="00594D14">
            <w:pPr>
              <w:jc w:val="right"/>
              <w:rPr>
                <w:b/>
                <w:bCs/>
                <w:color w:val="FFFFFF" w:themeColor="background1"/>
              </w:rPr>
            </w:pPr>
            <w:r w:rsidRPr="00224AA8">
              <w:rPr>
                <w:b/>
                <w:bCs/>
                <w:color w:val="FFFFFF" w:themeColor="background1"/>
              </w:rPr>
              <w:t>Qtr 6</w:t>
            </w:r>
            <w:r>
              <w:rPr>
                <w:b/>
                <w:bCs/>
                <w:color w:val="FFFFFF" w:themeColor="background1"/>
              </w:rPr>
              <w:t>5</w:t>
            </w:r>
          </w:p>
        </w:tc>
        <w:tc>
          <w:tcPr>
            <w:tcW w:w="816" w:type="dxa"/>
            <w:tcBorders>
              <w:top w:val="single" w:sz="4" w:space="0" w:color="auto"/>
              <w:left w:val="nil"/>
              <w:bottom w:val="single" w:sz="4" w:space="0" w:color="auto"/>
              <w:right w:val="single" w:sz="4" w:space="0" w:color="auto"/>
            </w:tcBorders>
            <w:shd w:val="clear" w:color="auto" w:fill="808080" w:themeFill="background1" w:themeFillShade="80"/>
          </w:tcPr>
          <w:p w14:paraId="2B27090D" w14:textId="77777777" w:rsidR="006B6F53" w:rsidRPr="00224AA8" w:rsidRDefault="006B6F53" w:rsidP="00594D14">
            <w:pPr>
              <w:jc w:val="right"/>
              <w:rPr>
                <w:b/>
                <w:bCs/>
                <w:color w:val="FFFFFF" w:themeColor="background1"/>
              </w:rPr>
            </w:pPr>
            <w:r w:rsidRPr="00224AA8">
              <w:rPr>
                <w:b/>
                <w:bCs/>
                <w:color w:val="FFFFFF" w:themeColor="background1"/>
              </w:rPr>
              <w:t>Qtr 6</w:t>
            </w:r>
            <w:r>
              <w:rPr>
                <w:b/>
                <w:bCs/>
                <w:color w:val="FFFFFF" w:themeColor="background1"/>
              </w:rPr>
              <w:t>6</w:t>
            </w:r>
          </w:p>
        </w:tc>
        <w:tc>
          <w:tcPr>
            <w:tcW w:w="816" w:type="dxa"/>
            <w:tcBorders>
              <w:top w:val="single" w:sz="4" w:space="0" w:color="auto"/>
              <w:left w:val="nil"/>
              <w:bottom w:val="single" w:sz="4" w:space="0" w:color="auto"/>
              <w:right w:val="single" w:sz="4" w:space="0" w:color="auto"/>
            </w:tcBorders>
            <w:shd w:val="clear" w:color="auto" w:fill="808080" w:themeFill="background1" w:themeFillShade="80"/>
          </w:tcPr>
          <w:p w14:paraId="13930C2B" w14:textId="77777777" w:rsidR="006B6F53" w:rsidRPr="00224AA8" w:rsidRDefault="006B6F53" w:rsidP="00594D14">
            <w:pPr>
              <w:jc w:val="right"/>
              <w:rPr>
                <w:b/>
                <w:bCs/>
                <w:color w:val="FFFFFF" w:themeColor="background1"/>
              </w:rPr>
            </w:pPr>
            <w:r w:rsidRPr="00224AA8">
              <w:rPr>
                <w:b/>
                <w:bCs/>
                <w:color w:val="FFFFFF" w:themeColor="background1"/>
              </w:rPr>
              <w:t>Qtr 6</w:t>
            </w:r>
            <w:r>
              <w:rPr>
                <w:b/>
                <w:bCs/>
                <w:color w:val="FFFFFF" w:themeColor="background1"/>
              </w:rPr>
              <w:t>7</w:t>
            </w:r>
          </w:p>
        </w:tc>
        <w:tc>
          <w:tcPr>
            <w:tcW w:w="816" w:type="dxa"/>
            <w:tcBorders>
              <w:top w:val="single" w:sz="4" w:space="0" w:color="auto"/>
              <w:left w:val="nil"/>
              <w:bottom w:val="single" w:sz="4" w:space="0" w:color="auto"/>
              <w:right w:val="single" w:sz="4" w:space="0" w:color="auto"/>
            </w:tcBorders>
            <w:shd w:val="clear" w:color="auto" w:fill="808080" w:themeFill="background1" w:themeFillShade="80"/>
          </w:tcPr>
          <w:p w14:paraId="0B469C4D" w14:textId="77777777" w:rsidR="006B6F53" w:rsidRPr="00224AA8" w:rsidRDefault="006B6F53" w:rsidP="00594D14">
            <w:pPr>
              <w:jc w:val="right"/>
              <w:rPr>
                <w:b/>
                <w:bCs/>
                <w:color w:val="FFFFFF" w:themeColor="background1"/>
              </w:rPr>
            </w:pPr>
            <w:r w:rsidRPr="00224AA8">
              <w:rPr>
                <w:b/>
                <w:bCs/>
                <w:color w:val="FFFFFF" w:themeColor="background1"/>
              </w:rPr>
              <w:t>Qtr 6</w:t>
            </w:r>
            <w:r>
              <w:rPr>
                <w:b/>
                <w:bCs/>
                <w:color w:val="FFFFFF" w:themeColor="background1"/>
              </w:rPr>
              <w:t>8</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tcPr>
          <w:p w14:paraId="2EE6DECF" w14:textId="77777777" w:rsidR="006B6F53" w:rsidRPr="00224AA8" w:rsidRDefault="006B6F53" w:rsidP="00594D14">
            <w:pPr>
              <w:jc w:val="right"/>
              <w:rPr>
                <w:b/>
                <w:bCs/>
                <w:color w:val="FFFFFF" w:themeColor="background1"/>
              </w:rPr>
            </w:pPr>
            <w:r w:rsidRPr="00224AA8">
              <w:rPr>
                <w:b/>
                <w:bCs/>
                <w:color w:val="FFFFFF" w:themeColor="background1"/>
              </w:rPr>
              <w:t>Total</w:t>
            </w:r>
          </w:p>
        </w:tc>
      </w:tr>
      <w:tr w:rsidR="007762C9" w:rsidRPr="00224AA8" w14:paraId="54B02675" w14:textId="77777777" w:rsidTr="00594D14">
        <w:trPr>
          <w:trHeight w:val="284"/>
        </w:trPr>
        <w:tc>
          <w:tcPr>
            <w:tcW w:w="2119" w:type="dxa"/>
            <w:tcBorders>
              <w:top w:val="nil"/>
              <w:left w:val="single" w:sz="4" w:space="0" w:color="auto"/>
              <w:bottom w:val="single" w:sz="4" w:space="0" w:color="auto"/>
              <w:right w:val="single" w:sz="4" w:space="0" w:color="auto"/>
            </w:tcBorders>
            <w:noWrap/>
            <w:hideMark/>
          </w:tcPr>
          <w:p w14:paraId="643A02B1" w14:textId="77777777" w:rsidR="007762C9" w:rsidRPr="00224AA8" w:rsidRDefault="007762C9" w:rsidP="007762C9">
            <w:pPr>
              <w:spacing w:before="60" w:after="60"/>
            </w:pPr>
            <w:r w:rsidRPr="00224AA8">
              <w:t>Aurukun</w:t>
            </w:r>
          </w:p>
        </w:tc>
        <w:tc>
          <w:tcPr>
            <w:tcW w:w="815" w:type="dxa"/>
            <w:tcBorders>
              <w:top w:val="nil"/>
              <w:left w:val="nil"/>
              <w:bottom w:val="single" w:sz="4" w:space="0" w:color="auto"/>
              <w:right w:val="single" w:sz="4" w:space="0" w:color="auto"/>
            </w:tcBorders>
            <w:noWrap/>
          </w:tcPr>
          <w:p w14:paraId="2086260E" w14:textId="26EB1B04" w:rsidR="007762C9" w:rsidRPr="00741C1F" w:rsidRDefault="007762C9" w:rsidP="007762C9">
            <w:pPr>
              <w:spacing w:before="60" w:after="60"/>
              <w:jc w:val="right"/>
              <w:rPr>
                <w:rFonts w:cs="Arial"/>
              </w:rPr>
            </w:pPr>
            <w:r w:rsidRPr="001A3847">
              <w:rPr>
                <w:rFonts w:cs="Arial"/>
                <w:szCs w:val="20"/>
              </w:rPr>
              <w:t>64</w:t>
            </w:r>
          </w:p>
        </w:tc>
        <w:tc>
          <w:tcPr>
            <w:tcW w:w="816" w:type="dxa"/>
            <w:tcBorders>
              <w:top w:val="nil"/>
              <w:left w:val="nil"/>
              <w:bottom w:val="single" w:sz="4" w:space="0" w:color="auto"/>
              <w:right w:val="single" w:sz="4" w:space="0" w:color="auto"/>
            </w:tcBorders>
            <w:noWrap/>
          </w:tcPr>
          <w:p w14:paraId="556EB430" w14:textId="31440F12" w:rsidR="007762C9" w:rsidRPr="00741C1F" w:rsidRDefault="007762C9" w:rsidP="007762C9">
            <w:pPr>
              <w:spacing w:before="60" w:after="60"/>
              <w:jc w:val="right"/>
              <w:rPr>
                <w:rFonts w:cs="Arial"/>
              </w:rPr>
            </w:pPr>
            <w:r w:rsidRPr="001A3847">
              <w:rPr>
                <w:rFonts w:cs="Arial"/>
                <w:szCs w:val="20"/>
              </w:rPr>
              <w:t>70</w:t>
            </w:r>
          </w:p>
        </w:tc>
        <w:tc>
          <w:tcPr>
            <w:tcW w:w="816" w:type="dxa"/>
            <w:tcBorders>
              <w:top w:val="nil"/>
              <w:left w:val="nil"/>
              <w:bottom w:val="single" w:sz="4" w:space="0" w:color="auto"/>
              <w:right w:val="single" w:sz="4" w:space="0" w:color="auto"/>
            </w:tcBorders>
            <w:noWrap/>
          </w:tcPr>
          <w:p w14:paraId="13036BC2" w14:textId="5B31B33F" w:rsidR="007762C9" w:rsidRPr="00741C1F" w:rsidRDefault="007762C9" w:rsidP="007762C9">
            <w:pPr>
              <w:spacing w:before="60" w:after="60"/>
              <w:jc w:val="right"/>
              <w:rPr>
                <w:rFonts w:cs="Arial"/>
              </w:rPr>
            </w:pPr>
            <w:r w:rsidRPr="001A3847">
              <w:rPr>
                <w:rFonts w:cs="Arial"/>
                <w:szCs w:val="20"/>
              </w:rPr>
              <w:t>39</w:t>
            </w:r>
          </w:p>
        </w:tc>
        <w:tc>
          <w:tcPr>
            <w:tcW w:w="816" w:type="dxa"/>
            <w:tcBorders>
              <w:top w:val="nil"/>
              <w:left w:val="nil"/>
              <w:bottom w:val="single" w:sz="4" w:space="0" w:color="auto"/>
              <w:right w:val="single" w:sz="4" w:space="0" w:color="auto"/>
            </w:tcBorders>
            <w:noWrap/>
          </w:tcPr>
          <w:p w14:paraId="0549AE8C" w14:textId="1D834F0A" w:rsidR="007762C9" w:rsidRPr="00741C1F" w:rsidRDefault="007762C9" w:rsidP="007762C9">
            <w:pPr>
              <w:spacing w:before="60" w:after="60"/>
              <w:jc w:val="right"/>
              <w:rPr>
                <w:rFonts w:cs="Arial"/>
              </w:rPr>
            </w:pPr>
            <w:r w:rsidRPr="001A3847">
              <w:rPr>
                <w:rFonts w:cs="Arial"/>
                <w:szCs w:val="20"/>
              </w:rPr>
              <w:t>92</w:t>
            </w:r>
          </w:p>
        </w:tc>
        <w:tc>
          <w:tcPr>
            <w:tcW w:w="992" w:type="dxa"/>
            <w:tcBorders>
              <w:top w:val="nil"/>
              <w:left w:val="nil"/>
              <w:bottom w:val="single" w:sz="4" w:space="0" w:color="auto"/>
              <w:right w:val="single" w:sz="4" w:space="0" w:color="auto"/>
            </w:tcBorders>
          </w:tcPr>
          <w:p w14:paraId="76B9E5C1" w14:textId="1DB27E3F" w:rsidR="007762C9" w:rsidRPr="00741C1F" w:rsidRDefault="007762C9" w:rsidP="007762C9">
            <w:pPr>
              <w:spacing w:before="60" w:after="60"/>
              <w:jc w:val="right"/>
              <w:rPr>
                <w:rFonts w:cs="Arial"/>
                <w:b/>
                <w:bCs/>
              </w:rPr>
            </w:pPr>
            <w:r w:rsidRPr="001A3847">
              <w:rPr>
                <w:rFonts w:cs="Arial"/>
                <w:b/>
                <w:bCs/>
                <w:szCs w:val="20"/>
              </w:rPr>
              <w:t>265</w:t>
            </w:r>
          </w:p>
        </w:tc>
      </w:tr>
      <w:tr w:rsidR="007762C9" w:rsidRPr="00224AA8" w14:paraId="077BBCD4" w14:textId="77777777" w:rsidTr="00594D14">
        <w:trPr>
          <w:trHeight w:val="284"/>
        </w:trPr>
        <w:tc>
          <w:tcPr>
            <w:tcW w:w="2119" w:type="dxa"/>
            <w:tcBorders>
              <w:top w:val="nil"/>
              <w:left w:val="single" w:sz="4" w:space="0" w:color="auto"/>
              <w:bottom w:val="single" w:sz="4" w:space="0" w:color="auto"/>
              <w:right w:val="single" w:sz="4" w:space="0" w:color="auto"/>
            </w:tcBorders>
            <w:noWrap/>
            <w:hideMark/>
          </w:tcPr>
          <w:p w14:paraId="04C02E66" w14:textId="77777777" w:rsidR="007762C9" w:rsidRPr="00224AA8" w:rsidRDefault="007762C9" w:rsidP="007762C9">
            <w:pPr>
              <w:spacing w:before="60" w:after="60"/>
            </w:pPr>
            <w:r w:rsidRPr="00224AA8">
              <w:t>Coen</w:t>
            </w:r>
          </w:p>
        </w:tc>
        <w:tc>
          <w:tcPr>
            <w:tcW w:w="815" w:type="dxa"/>
            <w:tcBorders>
              <w:top w:val="nil"/>
              <w:left w:val="nil"/>
              <w:bottom w:val="single" w:sz="4" w:space="0" w:color="auto"/>
              <w:right w:val="single" w:sz="4" w:space="0" w:color="auto"/>
            </w:tcBorders>
            <w:noWrap/>
          </w:tcPr>
          <w:p w14:paraId="5BC0B500" w14:textId="56639B0D" w:rsidR="007762C9" w:rsidRPr="00741C1F" w:rsidRDefault="007762C9" w:rsidP="007762C9">
            <w:pPr>
              <w:spacing w:before="60" w:after="60"/>
              <w:jc w:val="right"/>
              <w:rPr>
                <w:rFonts w:cs="Arial"/>
              </w:rPr>
            </w:pPr>
            <w:r w:rsidRPr="001A3847">
              <w:rPr>
                <w:rFonts w:cs="Arial"/>
                <w:szCs w:val="20"/>
              </w:rPr>
              <w:t>7</w:t>
            </w:r>
          </w:p>
        </w:tc>
        <w:tc>
          <w:tcPr>
            <w:tcW w:w="816" w:type="dxa"/>
            <w:tcBorders>
              <w:top w:val="nil"/>
              <w:left w:val="nil"/>
              <w:bottom w:val="single" w:sz="4" w:space="0" w:color="auto"/>
              <w:right w:val="single" w:sz="4" w:space="0" w:color="auto"/>
            </w:tcBorders>
            <w:noWrap/>
          </w:tcPr>
          <w:p w14:paraId="0AECB8D0" w14:textId="2476D499" w:rsidR="007762C9" w:rsidRPr="00741C1F" w:rsidRDefault="007762C9" w:rsidP="007762C9">
            <w:pPr>
              <w:spacing w:before="60" w:after="60"/>
              <w:jc w:val="right"/>
              <w:rPr>
                <w:rFonts w:cs="Arial"/>
              </w:rPr>
            </w:pPr>
            <w:r w:rsidRPr="001A3847">
              <w:rPr>
                <w:rFonts w:cs="Arial"/>
                <w:szCs w:val="20"/>
              </w:rPr>
              <w:t>8</w:t>
            </w:r>
          </w:p>
        </w:tc>
        <w:tc>
          <w:tcPr>
            <w:tcW w:w="816" w:type="dxa"/>
            <w:tcBorders>
              <w:top w:val="nil"/>
              <w:left w:val="nil"/>
              <w:bottom w:val="single" w:sz="4" w:space="0" w:color="auto"/>
              <w:right w:val="single" w:sz="4" w:space="0" w:color="auto"/>
            </w:tcBorders>
            <w:noWrap/>
          </w:tcPr>
          <w:p w14:paraId="367AC80C" w14:textId="4C8B3605" w:rsidR="007762C9" w:rsidRPr="00741C1F" w:rsidRDefault="007762C9" w:rsidP="007762C9">
            <w:pPr>
              <w:spacing w:before="60" w:after="60"/>
              <w:jc w:val="right"/>
              <w:rPr>
                <w:rFonts w:cs="Arial"/>
              </w:rPr>
            </w:pPr>
            <w:r w:rsidRPr="001A3847">
              <w:rPr>
                <w:rFonts w:cs="Arial"/>
                <w:szCs w:val="20"/>
              </w:rPr>
              <w:t>5</w:t>
            </w:r>
          </w:p>
        </w:tc>
        <w:tc>
          <w:tcPr>
            <w:tcW w:w="816" w:type="dxa"/>
            <w:tcBorders>
              <w:top w:val="nil"/>
              <w:left w:val="nil"/>
              <w:bottom w:val="single" w:sz="4" w:space="0" w:color="auto"/>
              <w:right w:val="single" w:sz="4" w:space="0" w:color="auto"/>
            </w:tcBorders>
            <w:noWrap/>
          </w:tcPr>
          <w:p w14:paraId="1F594EF3" w14:textId="2008E1E9" w:rsidR="007762C9" w:rsidRPr="00741C1F" w:rsidRDefault="007762C9" w:rsidP="007762C9">
            <w:pPr>
              <w:spacing w:before="60" w:after="60"/>
              <w:jc w:val="right"/>
              <w:rPr>
                <w:rFonts w:cs="Arial"/>
              </w:rPr>
            </w:pPr>
            <w:r w:rsidRPr="001A3847">
              <w:rPr>
                <w:rFonts w:cs="Arial"/>
                <w:szCs w:val="20"/>
              </w:rPr>
              <w:t>4</w:t>
            </w:r>
          </w:p>
        </w:tc>
        <w:tc>
          <w:tcPr>
            <w:tcW w:w="992" w:type="dxa"/>
            <w:tcBorders>
              <w:top w:val="nil"/>
              <w:left w:val="nil"/>
              <w:bottom w:val="single" w:sz="4" w:space="0" w:color="auto"/>
              <w:right w:val="single" w:sz="4" w:space="0" w:color="auto"/>
            </w:tcBorders>
          </w:tcPr>
          <w:p w14:paraId="40368AE8" w14:textId="222F3731" w:rsidR="007762C9" w:rsidRPr="00741C1F" w:rsidRDefault="007762C9" w:rsidP="007762C9">
            <w:pPr>
              <w:spacing w:before="60" w:after="60"/>
              <w:jc w:val="right"/>
              <w:rPr>
                <w:rFonts w:cs="Arial"/>
                <w:b/>
                <w:bCs/>
              </w:rPr>
            </w:pPr>
            <w:r w:rsidRPr="001A3847">
              <w:rPr>
                <w:rFonts w:cs="Arial"/>
                <w:b/>
                <w:bCs/>
                <w:szCs w:val="20"/>
              </w:rPr>
              <w:t>24</w:t>
            </w:r>
          </w:p>
        </w:tc>
      </w:tr>
      <w:tr w:rsidR="007762C9" w:rsidRPr="00224AA8" w14:paraId="472EC855" w14:textId="77777777" w:rsidTr="00594D14">
        <w:trPr>
          <w:trHeight w:val="284"/>
        </w:trPr>
        <w:tc>
          <w:tcPr>
            <w:tcW w:w="2119" w:type="dxa"/>
            <w:tcBorders>
              <w:top w:val="nil"/>
              <w:left w:val="single" w:sz="4" w:space="0" w:color="auto"/>
              <w:bottom w:val="single" w:sz="4" w:space="0" w:color="auto"/>
              <w:right w:val="single" w:sz="4" w:space="0" w:color="auto"/>
            </w:tcBorders>
            <w:noWrap/>
            <w:hideMark/>
          </w:tcPr>
          <w:p w14:paraId="3107BCA0" w14:textId="77777777" w:rsidR="007762C9" w:rsidRPr="00224AA8" w:rsidRDefault="007762C9" w:rsidP="007762C9">
            <w:pPr>
              <w:spacing w:before="60" w:after="60"/>
            </w:pPr>
            <w:r w:rsidRPr="00224AA8">
              <w:t>Doomadgee</w:t>
            </w:r>
          </w:p>
        </w:tc>
        <w:tc>
          <w:tcPr>
            <w:tcW w:w="815" w:type="dxa"/>
            <w:tcBorders>
              <w:top w:val="nil"/>
              <w:left w:val="nil"/>
              <w:bottom w:val="single" w:sz="4" w:space="0" w:color="auto"/>
              <w:right w:val="single" w:sz="4" w:space="0" w:color="auto"/>
            </w:tcBorders>
            <w:noWrap/>
          </w:tcPr>
          <w:p w14:paraId="10DC1507" w14:textId="2AF2F253" w:rsidR="007762C9" w:rsidRPr="00741C1F" w:rsidRDefault="007762C9" w:rsidP="007762C9">
            <w:pPr>
              <w:spacing w:before="60" w:after="60"/>
              <w:jc w:val="right"/>
              <w:rPr>
                <w:rFonts w:cs="Arial"/>
              </w:rPr>
            </w:pPr>
            <w:r w:rsidRPr="001A3847">
              <w:rPr>
                <w:rFonts w:cs="Arial"/>
                <w:szCs w:val="20"/>
              </w:rPr>
              <w:t>75</w:t>
            </w:r>
          </w:p>
        </w:tc>
        <w:tc>
          <w:tcPr>
            <w:tcW w:w="816" w:type="dxa"/>
            <w:tcBorders>
              <w:top w:val="nil"/>
              <w:left w:val="nil"/>
              <w:bottom w:val="single" w:sz="4" w:space="0" w:color="auto"/>
              <w:right w:val="single" w:sz="4" w:space="0" w:color="auto"/>
            </w:tcBorders>
            <w:noWrap/>
          </w:tcPr>
          <w:p w14:paraId="661F6B48" w14:textId="52D9E00A" w:rsidR="007762C9" w:rsidRPr="00741C1F" w:rsidRDefault="007762C9" w:rsidP="007762C9">
            <w:pPr>
              <w:spacing w:before="60" w:after="60"/>
              <w:jc w:val="right"/>
              <w:rPr>
                <w:rFonts w:cs="Arial"/>
              </w:rPr>
            </w:pPr>
            <w:r w:rsidRPr="001A3847">
              <w:rPr>
                <w:rFonts w:cs="Arial"/>
                <w:szCs w:val="20"/>
              </w:rPr>
              <w:t>69</w:t>
            </w:r>
          </w:p>
        </w:tc>
        <w:tc>
          <w:tcPr>
            <w:tcW w:w="816" w:type="dxa"/>
            <w:tcBorders>
              <w:top w:val="nil"/>
              <w:left w:val="nil"/>
              <w:bottom w:val="single" w:sz="4" w:space="0" w:color="auto"/>
              <w:right w:val="single" w:sz="4" w:space="0" w:color="auto"/>
            </w:tcBorders>
            <w:noWrap/>
          </w:tcPr>
          <w:p w14:paraId="5E639CC5" w14:textId="168C392F" w:rsidR="007762C9" w:rsidRPr="00741C1F" w:rsidRDefault="007762C9" w:rsidP="007762C9">
            <w:pPr>
              <w:spacing w:before="60" w:after="60"/>
              <w:jc w:val="right"/>
              <w:rPr>
                <w:rFonts w:cs="Arial"/>
              </w:rPr>
            </w:pPr>
            <w:r w:rsidRPr="001A3847">
              <w:rPr>
                <w:rFonts w:cs="Arial"/>
                <w:szCs w:val="20"/>
              </w:rPr>
              <w:t>73</w:t>
            </w:r>
          </w:p>
        </w:tc>
        <w:tc>
          <w:tcPr>
            <w:tcW w:w="816" w:type="dxa"/>
            <w:tcBorders>
              <w:top w:val="nil"/>
              <w:left w:val="nil"/>
              <w:bottom w:val="single" w:sz="4" w:space="0" w:color="auto"/>
              <w:right w:val="single" w:sz="4" w:space="0" w:color="auto"/>
            </w:tcBorders>
            <w:noWrap/>
          </w:tcPr>
          <w:p w14:paraId="2E8215D2" w14:textId="24EE4903" w:rsidR="007762C9" w:rsidRPr="00741C1F" w:rsidRDefault="007762C9" w:rsidP="007762C9">
            <w:pPr>
              <w:spacing w:before="60" w:after="60"/>
              <w:jc w:val="right"/>
              <w:rPr>
                <w:rFonts w:cs="Arial"/>
              </w:rPr>
            </w:pPr>
            <w:r w:rsidRPr="001A3847">
              <w:rPr>
                <w:rFonts w:cs="Arial"/>
                <w:szCs w:val="20"/>
              </w:rPr>
              <w:t>84</w:t>
            </w:r>
          </w:p>
        </w:tc>
        <w:tc>
          <w:tcPr>
            <w:tcW w:w="992" w:type="dxa"/>
            <w:tcBorders>
              <w:top w:val="nil"/>
              <w:left w:val="nil"/>
              <w:bottom w:val="single" w:sz="4" w:space="0" w:color="auto"/>
              <w:right w:val="single" w:sz="4" w:space="0" w:color="auto"/>
            </w:tcBorders>
          </w:tcPr>
          <w:p w14:paraId="4F8BF47A" w14:textId="46BD1200" w:rsidR="007762C9" w:rsidRPr="00741C1F" w:rsidRDefault="007762C9" w:rsidP="007762C9">
            <w:pPr>
              <w:spacing w:before="60" w:after="60"/>
              <w:jc w:val="right"/>
              <w:rPr>
                <w:rFonts w:cs="Arial"/>
                <w:b/>
                <w:bCs/>
              </w:rPr>
            </w:pPr>
            <w:r w:rsidRPr="001A3847">
              <w:rPr>
                <w:rFonts w:cs="Arial"/>
                <w:b/>
                <w:bCs/>
                <w:szCs w:val="20"/>
              </w:rPr>
              <w:t>301</w:t>
            </w:r>
          </w:p>
        </w:tc>
      </w:tr>
      <w:tr w:rsidR="007762C9" w:rsidRPr="00224AA8" w14:paraId="4633B801" w14:textId="77777777" w:rsidTr="00594D14">
        <w:trPr>
          <w:trHeight w:val="284"/>
        </w:trPr>
        <w:tc>
          <w:tcPr>
            <w:tcW w:w="2119" w:type="dxa"/>
            <w:tcBorders>
              <w:top w:val="nil"/>
              <w:left w:val="single" w:sz="4" w:space="0" w:color="auto"/>
              <w:bottom w:val="single" w:sz="4" w:space="0" w:color="auto"/>
              <w:right w:val="single" w:sz="4" w:space="0" w:color="auto"/>
            </w:tcBorders>
            <w:noWrap/>
            <w:hideMark/>
          </w:tcPr>
          <w:p w14:paraId="68C840D0" w14:textId="77777777" w:rsidR="007762C9" w:rsidRPr="00224AA8" w:rsidRDefault="007762C9" w:rsidP="007762C9">
            <w:pPr>
              <w:spacing w:before="60" w:after="60"/>
            </w:pPr>
            <w:r w:rsidRPr="00224AA8">
              <w:t>Hope Vale</w:t>
            </w:r>
          </w:p>
        </w:tc>
        <w:tc>
          <w:tcPr>
            <w:tcW w:w="815" w:type="dxa"/>
            <w:tcBorders>
              <w:top w:val="nil"/>
              <w:left w:val="nil"/>
              <w:bottom w:val="single" w:sz="4" w:space="0" w:color="auto"/>
              <w:right w:val="single" w:sz="4" w:space="0" w:color="auto"/>
            </w:tcBorders>
            <w:noWrap/>
          </w:tcPr>
          <w:p w14:paraId="656B66E4" w14:textId="6569452C" w:rsidR="007762C9" w:rsidRPr="00741C1F" w:rsidRDefault="007762C9" w:rsidP="007762C9">
            <w:pPr>
              <w:spacing w:before="60" w:after="60"/>
              <w:jc w:val="right"/>
              <w:rPr>
                <w:rFonts w:cs="Arial"/>
              </w:rPr>
            </w:pPr>
            <w:r w:rsidRPr="001A3847">
              <w:rPr>
                <w:rFonts w:cs="Arial"/>
                <w:szCs w:val="20"/>
              </w:rPr>
              <w:t>26</w:t>
            </w:r>
          </w:p>
        </w:tc>
        <w:tc>
          <w:tcPr>
            <w:tcW w:w="816" w:type="dxa"/>
            <w:tcBorders>
              <w:top w:val="nil"/>
              <w:left w:val="nil"/>
              <w:bottom w:val="single" w:sz="4" w:space="0" w:color="auto"/>
              <w:right w:val="single" w:sz="4" w:space="0" w:color="auto"/>
            </w:tcBorders>
            <w:noWrap/>
          </w:tcPr>
          <w:p w14:paraId="64573847" w14:textId="2A497FE8" w:rsidR="007762C9" w:rsidRPr="00741C1F" w:rsidRDefault="007762C9" w:rsidP="007762C9">
            <w:pPr>
              <w:spacing w:before="60" w:after="60"/>
              <w:jc w:val="right"/>
              <w:rPr>
                <w:rFonts w:cs="Arial"/>
              </w:rPr>
            </w:pPr>
            <w:r w:rsidRPr="001A3847">
              <w:rPr>
                <w:rFonts w:cs="Arial"/>
                <w:szCs w:val="20"/>
              </w:rPr>
              <w:t>39</w:t>
            </w:r>
          </w:p>
        </w:tc>
        <w:tc>
          <w:tcPr>
            <w:tcW w:w="816" w:type="dxa"/>
            <w:tcBorders>
              <w:top w:val="nil"/>
              <w:left w:val="nil"/>
              <w:bottom w:val="single" w:sz="4" w:space="0" w:color="auto"/>
              <w:right w:val="single" w:sz="4" w:space="0" w:color="auto"/>
            </w:tcBorders>
            <w:noWrap/>
          </w:tcPr>
          <w:p w14:paraId="0116FAE0" w14:textId="42DF643B" w:rsidR="007762C9" w:rsidRPr="00741C1F" w:rsidRDefault="007762C9" w:rsidP="007762C9">
            <w:pPr>
              <w:spacing w:before="60" w:after="60"/>
              <w:jc w:val="right"/>
              <w:rPr>
                <w:rFonts w:cs="Arial"/>
              </w:rPr>
            </w:pPr>
            <w:r w:rsidRPr="001A3847">
              <w:rPr>
                <w:rFonts w:cs="Arial"/>
                <w:szCs w:val="20"/>
              </w:rPr>
              <w:t>54</w:t>
            </w:r>
          </w:p>
        </w:tc>
        <w:tc>
          <w:tcPr>
            <w:tcW w:w="816" w:type="dxa"/>
            <w:tcBorders>
              <w:top w:val="nil"/>
              <w:left w:val="nil"/>
              <w:bottom w:val="single" w:sz="4" w:space="0" w:color="auto"/>
              <w:right w:val="single" w:sz="4" w:space="0" w:color="auto"/>
            </w:tcBorders>
            <w:noWrap/>
          </w:tcPr>
          <w:p w14:paraId="69A3193F" w14:textId="31BABFA9" w:rsidR="007762C9" w:rsidRPr="00741C1F" w:rsidRDefault="007762C9" w:rsidP="007762C9">
            <w:pPr>
              <w:spacing w:before="60" w:after="60"/>
              <w:jc w:val="right"/>
              <w:rPr>
                <w:rFonts w:cs="Arial"/>
              </w:rPr>
            </w:pPr>
            <w:r w:rsidRPr="001A3847">
              <w:rPr>
                <w:rFonts w:cs="Arial"/>
                <w:szCs w:val="20"/>
              </w:rPr>
              <w:t>47</w:t>
            </w:r>
          </w:p>
        </w:tc>
        <w:tc>
          <w:tcPr>
            <w:tcW w:w="992" w:type="dxa"/>
            <w:tcBorders>
              <w:top w:val="nil"/>
              <w:left w:val="nil"/>
              <w:bottom w:val="single" w:sz="4" w:space="0" w:color="auto"/>
              <w:right w:val="single" w:sz="4" w:space="0" w:color="auto"/>
            </w:tcBorders>
          </w:tcPr>
          <w:p w14:paraId="310C76BB" w14:textId="09AA947F" w:rsidR="007762C9" w:rsidRPr="00741C1F" w:rsidRDefault="007762C9" w:rsidP="007762C9">
            <w:pPr>
              <w:spacing w:before="60" w:after="60"/>
              <w:jc w:val="right"/>
              <w:rPr>
                <w:rFonts w:cs="Arial"/>
                <w:b/>
                <w:bCs/>
              </w:rPr>
            </w:pPr>
            <w:r w:rsidRPr="001A3847">
              <w:rPr>
                <w:rFonts w:cs="Arial"/>
                <w:b/>
                <w:bCs/>
                <w:szCs w:val="20"/>
              </w:rPr>
              <w:t>166</w:t>
            </w:r>
          </w:p>
        </w:tc>
      </w:tr>
      <w:tr w:rsidR="007762C9" w:rsidRPr="00224AA8" w14:paraId="1C59E584" w14:textId="77777777" w:rsidTr="00594D14">
        <w:trPr>
          <w:trHeight w:val="284"/>
        </w:trPr>
        <w:tc>
          <w:tcPr>
            <w:tcW w:w="2119" w:type="dxa"/>
            <w:tcBorders>
              <w:top w:val="nil"/>
              <w:left w:val="single" w:sz="4" w:space="0" w:color="auto"/>
              <w:bottom w:val="single" w:sz="4" w:space="0" w:color="auto"/>
              <w:right w:val="single" w:sz="4" w:space="0" w:color="auto"/>
            </w:tcBorders>
            <w:noWrap/>
          </w:tcPr>
          <w:p w14:paraId="4926D08F" w14:textId="77777777" w:rsidR="007762C9" w:rsidRPr="00224AA8" w:rsidRDefault="007762C9" w:rsidP="007762C9">
            <w:pPr>
              <w:spacing w:before="60" w:after="60"/>
            </w:pPr>
            <w:r w:rsidRPr="00224AA8">
              <w:t>Mossman Gorge</w:t>
            </w:r>
          </w:p>
        </w:tc>
        <w:tc>
          <w:tcPr>
            <w:tcW w:w="815" w:type="dxa"/>
            <w:tcBorders>
              <w:top w:val="nil"/>
              <w:left w:val="nil"/>
              <w:bottom w:val="single" w:sz="4" w:space="0" w:color="auto"/>
              <w:right w:val="single" w:sz="4" w:space="0" w:color="auto"/>
            </w:tcBorders>
            <w:noWrap/>
          </w:tcPr>
          <w:p w14:paraId="711BE1C0" w14:textId="1DCD79A4" w:rsidR="007762C9" w:rsidRPr="00741C1F" w:rsidRDefault="007762C9" w:rsidP="007762C9">
            <w:pPr>
              <w:spacing w:before="60" w:after="60"/>
              <w:jc w:val="right"/>
              <w:rPr>
                <w:rFonts w:cs="Arial"/>
              </w:rPr>
            </w:pPr>
            <w:r w:rsidRPr="001A3847">
              <w:rPr>
                <w:rFonts w:cs="Arial"/>
                <w:szCs w:val="20"/>
              </w:rPr>
              <w:t>4</w:t>
            </w:r>
          </w:p>
        </w:tc>
        <w:tc>
          <w:tcPr>
            <w:tcW w:w="816" w:type="dxa"/>
            <w:tcBorders>
              <w:top w:val="nil"/>
              <w:left w:val="nil"/>
              <w:bottom w:val="single" w:sz="4" w:space="0" w:color="auto"/>
              <w:right w:val="single" w:sz="4" w:space="0" w:color="auto"/>
            </w:tcBorders>
            <w:noWrap/>
          </w:tcPr>
          <w:p w14:paraId="55B080DA" w14:textId="615F24A7" w:rsidR="007762C9" w:rsidRPr="00741C1F" w:rsidRDefault="007762C9" w:rsidP="007762C9">
            <w:pPr>
              <w:spacing w:before="60" w:after="60"/>
              <w:jc w:val="right"/>
              <w:rPr>
                <w:rFonts w:cs="Arial"/>
              </w:rPr>
            </w:pPr>
            <w:r w:rsidRPr="001A3847">
              <w:rPr>
                <w:rFonts w:cs="Arial"/>
                <w:szCs w:val="20"/>
              </w:rPr>
              <w:t>10</w:t>
            </w:r>
          </w:p>
        </w:tc>
        <w:tc>
          <w:tcPr>
            <w:tcW w:w="816" w:type="dxa"/>
            <w:tcBorders>
              <w:top w:val="nil"/>
              <w:left w:val="nil"/>
              <w:bottom w:val="single" w:sz="4" w:space="0" w:color="auto"/>
              <w:right w:val="single" w:sz="4" w:space="0" w:color="auto"/>
            </w:tcBorders>
            <w:noWrap/>
          </w:tcPr>
          <w:p w14:paraId="6F4C2002" w14:textId="2424F401" w:rsidR="007762C9" w:rsidRPr="00741C1F" w:rsidRDefault="007762C9" w:rsidP="007762C9">
            <w:pPr>
              <w:spacing w:before="60" w:after="60"/>
              <w:jc w:val="right"/>
              <w:rPr>
                <w:rFonts w:cs="Arial"/>
              </w:rPr>
            </w:pPr>
            <w:r w:rsidRPr="001A3847">
              <w:rPr>
                <w:rFonts w:cs="Arial"/>
                <w:szCs w:val="20"/>
              </w:rPr>
              <w:t>3</w:t>
            </w:r>
          </w:p>
        </w:tc>
        <w:tc>
          <w:tcPr>
            <w:tcW w:w="816" w:type="dxa"/>
            <w:tcBorders>
              <w:top w:val="nil"/>
              <w:left w:val="nil"/>
              <w:bottom w:val="single" w:sz="4" w:space="0" w:color="auto"/>
              <w:right w:val="single" w:sz="4" w:space="0" w:color="auto"/>
            </w:tcBorders>
            <w:noWrap/>
          </w:tcPr>
          <w:p w14:paraId="5674CD62" w14:textId="0F770D47" w:rsidR="007762C9" w:rsidRPr="00741C1F" w:rsidRDefault="007762C9" w:rsidP="007762C9">
            <w:pPr>
              <w:spacing w:before="60" w:after="60"/>
              <w:jc w:val="right"/>
              <w:rPr>
                <w:rFonts w:cs="Arial"/>
              </w:rPr>
            </w:pPr>
            <w:r w:rsidRPr="001A3847">
              <w:rPr>
                <w:rFonts w:cs="Arial"/>
                <w:szCs w:val="20"/>
              </w:rPr>
              <w:t>14</w:t>
            </w:r>
          </w:p>
        </w:tc>
        <w:tc>
          <w:tcPr>
            <w:tcW w:w="992" w:type="dxa"/>
            <w:tcBorders>
              <w:top w:val="nil"/>
              <w:left w:val="nil"/>
              <w:bottom w:val="single" w:sz="4" w:space="0" w:color="auto"/>
              <w:right w:val="single" w:sz="4" w:space="0" w:color="auto"/>
            </w:tcBorders>
          </w:tcPr>
          <w:p w14:paraId="59F80EBA" w14:textId="249C839B" w:rsidR="007762C9" w:rsidRPr="00741C1F" w:rsidRDefault="007762C9" w:rsidP="007762C9">
            <w:pPr>
              <w:spacing w:before="60" w:after="60"/>
              <w:jc w:val="right"/>
              <w:rPr>
                <w:rFonts w:cs="Arial"/>
                <w:b/>
                <w:bCs/>
              </w:rPr>
            </w:pPr>
            <w:r w:rsidRPr="001A3847">
              <w:rPr>
                <w:rFonts w:cs="Arial"/>
                <w:b/>
                <w:bCs/>
                <w:szCs w:val="20"/>
              </w:rPr>
              <w:t>31</w:t>
            </w:r>
          </w:p>
        </w:tc>
      </w:tr>
      <w:tr w:rsidR="007762C9" w:rsidRPr="00224AA8" w14:paraId="68DFDC55" w14:textId="77777777" w:rsidTr="00594D14">
        <w:trPr>
          <w:trHeight w:val="284"/>
        </w:trPr>
        <w:tc>
          <w:tcPr>
            <w:tcW w:w="2119" w:type="dxa"/>
            <w:tcBorders>
              <w:top w:val="single" w:sz="4" w:space="0" w:color="auto"/>
              <w:left w:val="single" w:sz="4" w:space="0" w:color="auto"/>
              <w:bottom w:val="single" w:sz="4" w:space="0" w:color="auto"/>
              <w:right w:val="single" w:sz="4" w:space="0" w:color="auto"/>
            </w:tcBorders>
            <w:noWrap/>
          </w:tcPr>
          <w:p w14:paraId="3FC6BAAA" w14:textId="77777777" w:rsidR="007762C9" w:rsidRPr="00224AA8" w:rsidRDefault="007762C9" w:rsidP="007762C9">
            <w:pPr>
              <w:spacing w:before="60" w:after="60"/>
              <w:rPr>
                <w:b/>
                <w:bCs/>
              </w:rPr>
            </w:pPr>
            <w:r w:rsidRPr="00224AA8">
              <w:rPr>
                <w:b/>
                <w:bCs/>
              </w:rPr>
              <w:t>Total</w:t>
            </w:r>
          </w:p>
        </w:tc>
        <w:tc>
          <w:tcPr>
            <w:tcW w:w="815" w:type="dxa"/>
            <w:tcBorders>
              <w:top w:val="single" w:sz="4" w:space="0" w:color="auto"/>
              <w:left w:val="nil"/>
              <w:bottom w:val="single" w:sz="4" w:space="0" w:color="auto"/>
              <w:right w:val="single" w:sz="4" w:space="0" w:color="auto"/>
            </w:tcBorders>
            <w:noWrap/>
          </w:tcPr>
          <w:p w14:paraId="45F3F110" w14:textId="551123EA" w:rsidR="007762C9" w:rsidRPr="00741C1F" w:rsidRDefault="007762C9" w:rsidP="007762C9">
            <w:pPr>
              <w:spacing w:before="60" w:after="60"/>
              <w:jc w:val="right"/>
              <w:rPr>
                <w:rFonts w:cs="Arial"/>
                <w:b/>
                <w:bCs/>
              </w:rPr>
            </w:pPr>
            <w:r w:rsidRPr="001A3847">
              <w:rPr>
                <w:rFonts w:cs="Arial"/>
                <w:b/>
                <w:bCs/>
                <w:szCs w:val="20"/>
              </w:rPr>
              <w:t>176</w:t>
            </w:r>
          </w:p>
        </w:tc>
        <w:tc>
          <w:tcPr>
            <w:tcW w:w="816" w:type="dxa"/>
            <w:tcBorders>
              <w:top w:val="single" w:sz="4" w:space="0" w:color="auto"/>
              <w:left w:val="nil"/>
              <w:bottom w:val="single" w:sz="4" w:space="0" w:color="auto"/>
              <w:right w:val="single" w:sz="4" w:space="0" w:color="auto"/>
            </w:tcBorders>
            <w:noWrap/>
          </w:tcPr>
          <w:p w14:paraId="3A73BC78" w14:textId="2896BCBF" w:rsidR="007762C9" w:rsidRPr="00741C1F" w:rsidRDefault="007762C9" w:rsidP="007762C9">
            <w:pPr>
              <w:spacing w:before="60" w:after="60"/>
              <w:jc w:val="right"/>
              <w:rPr>
                <w:rFonts w:cs="Arial"/>
                <w:b/>
                <w:bCs/>
              </w:rPr>
            </w:pPr>
            <w:r w:rsidRPr="001A3847">
              <w:rPr>
                <w:rFonts w:cs="Arial"/>
                <w:b/>
                <w:bCs/>
                <w:szCs w:val="20"/>
              </w:rPr>
              <w:t>196</w:t>
            </w:r>
          </w:p>
        </w:tc>
        <w:tc>
          <w:tcPr>
            <w:tcW w:w="816" w:type="dxa"/>
            <w:tcBorders>
              <w:top w:val="single" w:sz="4" w:space="0" w:color="auto"/>
              <w:left w:val="nil"/>
              <w:bottom w:val="single" w:sz="4" w:space="0" w:color="auto"/>
              <w:right w:val="single" w:sz="4" w:space="0" w:color="auto"/>
            </w:tcBorders>
            <w:noWrap/>
          </w:tcPr>
          <w:p w14:paraId="05121047" w14:textId="06FB1087" w:rsidR="007762C9" w:rsidRPr="00741C1F" w:rsidRDefault="007762C9" w:rsidP="007762C9">
            <w:pPr>
              <w:spacing w:before="60" w:after="60"/>
              <w:jc w:val="right"/>
              <w:rPr>
                <w:rFonts w:cs="Arial"/>
                <w:b/>
                <w:bCs/>
              </w:rPr>
            </w:pPr>
            <w:r w:rsidRPr="001A3847">
              <w:rPr>
                <w:rFonts w:cs="Arial"/>
                <w:b/>
                <w:bCs/>
                <w:szCs w:val="20"/>
              </w:rPr>
              <w:t>174</w:t>
            </w:r>
          </w:p>
        </w:tc>
        <w:tc>
          <w:tcPr>
            <w:tcW w:w="816" w:type="dxa"/>
            <w:tcBorders>
              <w:top w:val="single" w:sz="4" w:space="0" w:color="auto"/>
              <w:left w:val="nil"/>
              <w:bottom w:val="single" w:sz="4" w:space="0" w:color="auto"/>
              <w:right w:val="single" w:sz="4" w:space="0" w:color="auto"/>
            </w:tcBorders>
            <w:noWrap/>
          </w:tcPr>
          <w:p w14:paraId="21072E9D" w14:textId="2218266F" w:rsidR="007762C9" w:rsidRPr="00741C1F" w:rsidRDefault="007762C9" w:rsidP="007762C9">
            <w:pPr>
              <w:spacing w:before="60" w:after="60"/>
              <w:jc w:val="right"/>
              <w:rPr>
                <w:rFonts w:cs="Arial"/>
                <w:b/>
                <w:bCs/>
              </w:rPr>
            </w:pPr>
            <w:r w:rsidRPr="001A3847">
              <w:rPr>
                <w:rFonts w:cs="Arial"/>
                <w:b/>
                <w:bCs/>
                <w:szCs w:val="20"/>
              </w:rPr>
              <w:t>241</w:t>
            </w:r>
          </w:p>
        </w:tc>
        <w:tc>
          <w:tcPr>
            <w:tcW w:w="992" w:type="dxa"/>
            <w:tcBorders>
              <w:top w:val="single" w:sz="4" w:space="0" w:color="auto"/>
              <w:left w:val="nil"/>
              <w:bottom w:val="single" w:sz="4" w:space="0" w:color="auto"/>
              <w:right w:val="single" w:sz="4" w:space="0" w:color="auto"/>
            </w:tcBorders>
          </w:tcPr>
          <w:p w14:paraId="2B940711" w14:textId="46ED4DAC" w:rsidR="007762C9" w:rsidRPr="00741C1F" w:rsidRDefault="007762C9" w:rsidP="007762C9">
            <w:pPr>
              <w:spacing w:before="60" w:after="60"/>
              <w:jc w:val="right"/>
              <w:rPr>
                <w:rFonts w:cs="Arial"/>
                <w:b/>
                <w:bCs/>
              </w:rPr>
            </w:pPr>
            <w:r w:rsidRPr="001A3847">
              <w:rPr>
                <w:rFonts w:cs="Arial"/>
                <w:b/>
                <w:bCs/>
                <w:szCs w:val="20"/>
              </w:rPr>
              <w:t>787</w:t>
            </w:r>
          </w:p>
        </w:tc>
      </w:tr>
      <w:bookmarkEnd w:id="4"/>
    </w:tbl>
    <w:p w14:paraId="6F149BD1" w14:textId="77777777" w:rsidR="006B6F53" w:rsidRPr="00224AA8" w:rsidRDefault="006B6F53" w:rsidP="006B6F53"/>
    <w:p w14:paraId="6B6CF0C9" w14:textId="77777777" w:rsidR="00F6196D" w:rsidRDefault="00F6196D" w:rsidP="006B6F53">
      <w:r>
        <w:t xml:space="preserve">As </w:t>
      </w:r>
      <w:r w:rsidRPr="00224AA8">
        <w:t xml:space="preserve">a subset of the total number of conferences conducted for the financial year, </w:t>
      </w:r>
      <w:r>
        <w:t>171</w:t>
      </w:r>
      <w:r w:rsidRPr="00224AA8">
        <w:t xml:space="preserve"> DV-related conferences were conducted in Aurukun, Coen, Hope Vale and Mossman Gorge, a decrease of 1</w:t>
      </w:r>
      <w:r>
        <w:t>9</w:t>
      </w:r>
      <w:r w:rsidRPr="00224AA8">
        <w:t>% from 202</w:t>
      </w:r>
      <w:r>
        <w:t>3</w:t>
      </w:r>
      <w:r w:rsidRPr="00224AA8">
        <w:t>-2</w:t>
      </w:r>
      <w:r>
        <w:t>4</w:t>
      </w:r>
      <w:r w:rsidRPr="00224AA8">
        <w:t>.</w:t>
      </w:r>
    </w:p>
    <w:p w14:paraId="1EDD98CB" w14:textId="06E8CCC5" w:rsidR="006B6F53" w:rsidRDefault="006B6F53" w:rsidP="006B6F53">
      <w:r w:rsidRPr="00D8571E">
        <w:rPr>
          <w:noProof/>
        </w:rPr>
        <w:drawing>
          <wp:anchor distT="0" distB="0" distL="114300" distR="114300" simplePos="0" relativeHeight="251677696" behindDoc="0" locked="0" layoutInCell="1" allowOverlap="1" wp14:anchorId="283DFA89" wp14:editId="6CC12BAA">
            <wp:simplePos x="0" y="0"/>
            <wp:positionH relativeFrom="margin">
              <wp:align>right</wp:align>
            </wp:positionH>
            <wp:positionV relativeFrom="paragraph">
              <wp:posOffset>1137920</wp:posOffset>
            </wp:positionV>
            <wp:extent cx="5400000" cy="3520800"/>
            <wp:effectExtent l="0" t="0" r="0" b="3810"/>
            <wp:wrapSquare wrapText="bothSides"/>
            <wp:docPr id="1367621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352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96D">
        <w:t xml:space="preserve">In addition to the conferences held above in table 6 there were a further 478 instances in 2024-25 where a client was not served a notice to attend conference for the following reasons: </w:t>
      </w:r>
      <w:r w:rsidR="00F6196D" w:rsidRPr="00397BFC">
        <w:t>medical</w:t>
      </w:r>
      <w:r w:rsidR="00F6196D">
        <w:t xml:space="preserve">, mental health reasons, </w:t>
      </w:r>
      <w:r w:rsidR="00F6196D" w:rsidRPr="00397BFC">
        <w:t>no longer living in community, not suitable time, out of the community, in prison, sorry business</w:t>
      </w:r>
      <w:r w:rsidR="00F6196D">
        <w:t xml:space="preserve">, </w:t>
      </w:r>
      <w:r w:rsidR="00F6196D" w:rsidRPr="00397BFC">
        <w:t>substance affected/aggressive and unable to locate</w:t>
      </w:r>
      <w:r w:rsidR="00F6196D">
        <w:t>. The most frequent reason for not serving was “out of community” (37%), followed by “unable to locate” (34%) and “sorry business” (18%).</w:t>
      </w:r>
    </w:p>
    <w:p w14:paraId="3E94B24D" w14:textId="77777777" w:rsidR="00F6196D" w:rsidRDefault="00F6196D" w:rsidP="006B6F53"/>
    <w:tbl>
      <w:tblPr>
        <w:tblStyle w:val="TableGrid"/>
        <w:tblW w:w="0" w:type="auto"/>
        <w:tblLook w:val="04A0" w:firstRow="1" w:lastRow="0" w:firstColumn="1" w:lastColumn="0" w:noHBand="0" w:noVBand="1"/>
      </w:tblPr>
      <w:tblGrid>
        <w:gridCol w:w="8494"/>
      </w:tblGrid>
      <w:tr w:rsidR="006B6F53" w14:paraId="1E6B4D6C" w14:textId="77777777" w:rsidTr="00594D14">
        <w:tc>
          <w:tcPr>
            <w:tcW w:w="8494" w:type="dxa"/>
            <w:shd w:val="clear" w:color="auto" w:fill="808080" w:themeFill="background1" w:themeFillShade="80"/>
          </w:tcPr>
          <w:p w14:paraId="363B5CFE" w14:textId="77777777" w:rsidR="006B6F53" w:rsidRPr="00AD3FD4" w:rsidRDefault="006B6F53" w:rsidP="00594D14">
            <w:pPr>
              <w:spacing w:before="60" w:after="60"/>
              <w:rPr>
                <w:rFonts w:eastAsiaTheme="minorHAnsi" w:cs="Arial"/>
                <w:b/>
                <w:bCs/>
                <w:color w:val="FFFFFF" w:themeColor="background1"/>
                <w:sz w:val="17"/>
                <w:szCs w:val="17"/>
                <w:lang w:eastAsia="en-US"/>
              </w:rPr>
            </w:pPr>
            <w:r w:rsidRPr="00BD4BEC">
              <w:rPr>
                <w:rFonts w:cs="Arial"/>
                <w:b/>
                <w:bCs/>
                <w:color w:val="FFFFFF" w:themeColor="background1"/>
                <w:sz w:val="17"/>
                <w:szCs w:val="17"/>
              </w:rPr>
              <w:t>Graph 8: Not served conference slots from 1 July 2024 to 30 June 2025</w:t>
            </w:r>
          </w:p>
        </w:tc>
      </w:tr>
    </w:tbl>
    <w:p w14:paraId="1585F736" w14:textId="4ECA98B9" w:rsidR="006B6F53" w:rsidRDefault="006B6F53" w:rsidP="006B6F53">
      <w:pPr>
        <w:pStyle w:val="Heading5"/>
      </w:pPr>
      <w:r>
        <w:lastRenderedPageBreak/>
        <w:t xml:space="preserve">Client </w:t>
      </w:r>
      <w:r w:rsidR="00AF39B1">
        <w:t>E</w:t>
      </w:r>
      <w:r>
        <w:t>ngagement</w:t>
      </w:r>
    </w:p>
    <w:p w14:paraId="248357FA" w14:textId="77777777" w:rsidR="00F6196D" w:rsidRDefault="00F6196D" w:rsidP="00F6196D">
      <w:r>
        <w:t xml:space="preserve">Conferencing is only one avenue of engaging with a client. </w:t>
      </w:r>
      <w:r w:rsidRPr="00224AA8">
        <w:t>From 1 July 202</w:t>
      </w:r>
      <w:r>
        <w:t>4</w:t>
      </w:r>
      <w:r w:rsidRPr="00224AA8">
        <w:t xml:space="preserve"> to 30 June 202</w:t>
      </w:r>
      <w:r>
        <w:t>5</w:t>
      </w:r>
      <w:r w:rsidRPr="00224AA8">
        <w:t xml:space="preserve"> </w:t>
      </w:r>
      <w:r>
        <w:t>1,796</w:t>
      </w:r>
      <w:r>
        <w:rPr>
          <w:rStyle w:val="FootnoteReference"/>
        </w:rPr>
        <w:footnoteReference w:id="4"/>
      </w:r>
      <w:r w:rsidRPr="00224AA8">
        <w:t xml:space="preserve"> </w:t>
      </w:r>
      <w:r>
        <w:t>CEs</w:t>
      </w:r>
      <w:r w:rsidRPr="00224AA8">
        <w:t xml:space="preserve"> were </w:t>
      </w:r>
      <w:r>
        <w:t>conducted outside of conference with either the client, stakeholder or both</w:t>
      </w:r>
      <w:r w:rsidRPr="00224AA8">
        <w:t xml:space="preserve"> relating to </w:t>
      </w:r>
      <w:r>
        <w:t>721</w:t>
      </w:r>
      <w:r w:rsidRPr="00224AA8">
        <w:t xml:space="preserve"> clients</w:t>
      </w:r>
      <w:r>
        <w:t xml:space="preserve"> supported. CEs during the financial year resulted in 79 VIMs and 173 VCPs.</w:t>
      </w:r>
    </w:p>
    <w:p w14:paraId="20DF3AA6" w14:textId="77777777" w:rsidR="006B6F53" w:rsidRPr="00224AA8" w:rsidRDefault="006B6F53" w:rsidP="006B6F53">
      <w:pPr>
        <w:ind w:left="720" w:hanging="720"/>
        <w:rPr>
          <w:rFonts w:cs="Arial"/>
          <w:b/>
          <w:bCs/>
          <w:szCs w:val="20"/>
          <w:lang w:val="en-US"/>
        </w:rPr>
      </w:pPr>
      <w:r w:rsidRPr="00224AA8">
        <w:rPr>
          <w:rFonts w:cs="Arial"/>
          <w:b/>
          <w:bCs/>
          <w:sz w:val="17"/>
          <w:szCs w:val="17"/>
          <w:lang w:val="en-US"/>
        </w:rPr>
        <w:t xml:space="preserve">Table </w:t>
      </w:r>
      <w:r>
        <w:rPr>
          <w:rFonts w:cs="Arial"/>
          <w:b/>
          <w:bCs/>
          <w:sz w:val="17"/>
          <w:szCs w:val="17"/>
          <w:lang w:val="en-US"/>
        </w:rPr>
        <w:t>7</w:t>
      </w:r>
      <w:r w:rsidRPr="00224AA8">
        <w:rPr>
          <w:rFonts w:cs="Arial"/>
          <w:b/>
          <w:bCs/>
          <w:sz w:val="17"/>
          <w:szCs w:val="17"/>
          <w:lang w:val="en-US"/>
        </w:rPr>
        <w:t xml:space="preserve">: </w:t>
      </w:r>
      <w:r>
        <w:rPr>
          <w:rFonts w:cs="Arial"/>
          <w:b/>
          <w:bCs/>
          <w:sz w:val="17"/>
          <w:szCs w:val="17"/>
          <w:lang w:val="en-US"/>
        </w:rPr>
        <w:t xml:space="preserve">CE engagement with either the client, stakeholder or both (excluding non-contact engagements) </w:t>
      </w:r>
      <w:r w:rsidRPr="00224AA8">
        <w:rPr>
          <w:rFonts w:cs="Arial"/>
          <w:b/>
          <w:bCs/>
          <w:sz w:val="17"/>
          <w:szCs w:val="17"/>
          <w:lang w:val="en-US"/>
        </w:rPr>
        <w:t>by community and quarter 1 July 202</w:t>
      </w:r>
      <w:r>
        <w:rPr>
          <w:rFonts w:cs="Arial"/>
          <w:b/>
          <w:bCs/>
          <w:sz w:val="17"/>
          <w:szCs w:val="17"/>
          <w:lang w:val="en-US"/>
        </w:rPr>
        <w:t>4</w:t>
      </w:r>
      <w:r w:rsidRPr="00224AA8">
        <w:rPr>
          <w:rFonts w:cs="Arial"/>
          <w:b/>
          <w:bCs/>
          <w:sz w:val="17"/>
          <w:szCs w:val="17"/>
          <w:lang w:val="en-US"/>
        </w:rPr>
        <w:t xml:space="preserve"> to 30 June 202</w:t>
      </w:r>
      <w:r>
        <w:rPr>
          <w:rFonts w:cs="Arial"/>
          <w:b/>
          <w:bCs/>
          <w:sz w:val="17"/>
          <w:szCs w:val="17"/>
          <w:lang w:val="en-US"/>
        </w:rPr>
        <w:t>5</w:t>
      </w:r>
    </w:p>
    <w:tbl>
      <w:tblPr>
        <w:tblW w:w="6516" w:type="dxa"/>
        <w:tblLayout w:type="fixed"/>
        <w:tblLook w:val="04A0" w:firstRow="1" w:lastRow="0" w:firstColumn="1" w:lastColumn="0" w:noHBand="0" w:noVBand="1"/>
      </w:tblPr>
      <w:tblGrid>
        <w:gridCol w:w="2263"/>
        <w:gridCol w:w="851"/>
        <w:gridCol w:w="850"/>
        <w:gridCol w:w="851"/>
        <w:gridCol w:w="850"/>
        <w:gridCol w:w="851"/>
      </w:tblGrid>
      <w:tr w:rsidR="006B6F53" w:rsidRPr="00224AA8" w14:paraId="43ED891D" w14:textId="77777777" w:rsidTr="00AF39B1">
        <w:trPr>
          <w:trHeight w:val="284"/>
        </w:trPr>
        <w:tc>
          <w:tcPr>
            <w:tcW w:w="2263"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2ED9B092" w14:textId="4A88453A" w:rsidR="006B6F53" w:rsidRPr="00224AA8" w:rsidRDefault="006B6F53" w:rsidP="00594D14">
            <w:pPr>
              <w:rPr>
                <w:b/>
                <w:bCs/>
                <w:color w:val="FFFFFF" w:themeColor="background1"/>
              </w:rPr>
            </w:pPr>
            <w:r w:rsidRPr="00224AA8">
              <w:rPr>
                <w:b/>
                <w:bCs/>
                <w:color w:val="FFFFFF" w:themeColor="background1"/>
              </w:rPr>
              <w:t>C</w:t>
            </w:r>
            <w:r w:rsidR="00AF39B1">
              <w:rPr>
                <w:b/>
                <w:bCs/>
                <w:color w:val="FFFFFF" w:themeColor="background1"/>
              </w:rPr>
              <w:t>lient</w:t>
            </w:r>
            <w:r>
              <w:rPr>
                <w:b/>
                <w:bCs/>
                <w:color w:val="FFFFFF" w:themeColor="background1"/>
              </w:rPr>
              <w:t xml:space="preserve"> Engagements</w:t>
            </w:r>
          </w:p>
        </w:tc>
        <w:tc>
          <w:tcPr>
            <w:tcW w:w="851" w:type="dxa"/>
            <w:tcBorders>
              <w:top w:val="single" w:sz="4" w:space="0" w:color="auto"/>
              <w:left w:val="nil"/>
              <w:bottom w:val="single" w:sz="4" w:space="0" w:color="auto"/>
              <w:right w:val="single" w:sz="4" w:space="0" w:color="auto"/>
            </w:tcBorders>
            <w:shd w:val="clear" w:color="auto" w:fill="808080" w:themeFill="background1" w:themeFillShade="80"/>
          </w:tcPr>
          <w:p w14:paraId="7057A8B4" w14:textId="77777777" w:rsidR="006B6F53" w:rsidRPr="00224AA8" w:rsidRDefault="006B6F53" w:rsidP="00594D14">
            <w:pPr>
              <w:jc w:val="right"/>
              <w:rPr>
                <w:b/>
                <w:bCs/>
                <w:color w:val="FFFFFF" w:themeColor="background1"/>
              </w:rPr>
            </w:pPr>
            <w:r w:rsidRPr="00224AA8">
              <w:rPr>
                <w:b/>
                <w:bCs/>
                <w:color w:val="FFFFFF" w:themeColor="background1"/>
              </w:rPr>
              <w:t>Qtr 6</w:t>
            </w:r>
            <w:r>
              <w:rPr>
                <w:b/>
                <w:bCs/>
                <w:color w:val="FFFFFF" w:themeColor="background1"/>
              </w:rPr>
              <w:t>5</w:t>
            </w:r>
          </w:p>
        </w:tc>
        <w:tc>
          <w:tcPr>
            <w:tcW w:w="850" w:type="dxa"/>
            <w:tcBorders>
              <w:top w:val="single" w:sz="4" w:space="0" w:color="auto"/>
              <w:left w:val="nil"/>
              <w:bottom w:val="single" w:sz="4" w:space="0" w:color="auto"/>
              <w:right w:val="single" w:sz="4" w:space="0" w:color="auto"/>
            </w:tcBorders>
            <w:shd w:val="clear" w:color="auto" w:fill="808080" w:themeFill="background1" w:themeFillShade="80"/>
          </w:tcPr>
          <w:p w14:paraId="6DEFEF28" w14:textId="77777777" w:rsidR="006B6F53" w:rsidRPr="00224AA8" w:rsidRDefault="006B6F53" w:rsidP="00594D14">
            <w:pPr>
              <w:jc w:val="right"/>
              <w:rPr>
                <w:b/>
                <w:bCs/>
                <w:color w:val="FFFFFF" w:themeColor="background1"/>
              </w:rPr>
            </w:pPr>
            <w:r w:rsidRPr="00224AA8">
              <w:rPr>
                <w:b/>
                <w:bCs/>
                <w:color w:val="FFFFFF" w:themeColor="background1"/>
              </w:rPr>
              <w:t>Qtr 6</w:t>
            </w:r>
            <w:r>
              <w:rPr>
                <w:b/>
                <w:bCs/>
                <w:color w:val="FFFFFF" w:themeColor="background1"/>
              </w:rPr>
              <w:t>6</w:t>
            </w:r>
          </w:p>
        </w:tc>
        <w:tc>
          <w:tcPr>
            <w:tcW w:w="851" w:type="dxa"/>
            <w:tcBorders>
              <w:top w:val="single" w:sz="4" w:space="0" w:color="auto"/>
              <w:left w:val="nil"/>
              <w:bottom w:val="single" w:sz="4" w:space="0" w:color="auto"/>
              <w:right w:val="single" w:sz="4" w:space="0" w:color="auto"/>
            </w:tcBorders>
            <w:shd w:val="clear" w:color="auto" w:fill="808080" w:themeFill="background1" w:themeFillShade="80"/>
          </w:tcPr>
          <w:p w14:paraId="28B6D5C8" w14:textId="77777777" w:rsidR="006B6F53" w:rsidRPr="00224AA8" w:rsidRDefault="006B6F53" w:rsidP="00594D14">
            <w:pPr>
              <w:jc w:val="right"/>
              <w:rPr>
                <w:b/>
                <w:bCs/>
                <w:color w:val="FFFFFF" w:themeColor="background1"/>
              </w:rPr>
            </w:pPr>
            <w:r w:rsidRPr="00224AA8">
              <w:rPr>
                <w:b/>
                <w:bCs/>
                <w:color w:val="FFFFFF" w:themeColor="background1"/>
              </w:rPr>
              <w:t>Qtr 6</w:t>
            </w:r>
            <w:r>
              <w:rPr>
                <w:b/>
                <w:bCs/>
                <w:color w:val="FFFFFF" w:themeColor="background1"/>
              </w:rPr>
              <w:t>7</w:t>
            </w:r>
          </w:p>
        </w:tc>
        <w:tc>
          <w:tcPr>
            <w:tcW w:w="850" w:type="dxa"/>
            <w:tcBorders>
              <w:top w:val="single" w:sz="4" w:space="0" w:color="auto"/>
              <w:left w:val="nil"/>
              <w:bottom w:val="single" w:sz="4" w:space="0" w:color="auto"/>
              <w:right w:val="single" w:sz="4" w:space="0" w:color="auto"/>
            </w:tcBorders>
            <w:shd w:val="clear" w:color="auto" w:fill="808080" w:themeFill="background1" w:themeFillShade="80"/>
          </w:tcPr>
          <w:p w14:paraId="09342410" w14:textId="77777777" w:rsidR="006B6F53" w:rsidRPr="00224AA8" w:rsidRDefault="006B6F53" w:rsidP="00594D14">
            <w:pPr>
              <w:jc w:val="right"/>
              <w:rPr>
                <w:b/>
                <w:bCs/>
                <w:color w:val="FFFFFF" w:themeColor="background1"/>
              </w:rPr>
            </w:pPr>
            <w:r w:rsidRPr="00224AA8">
              <w:rPr>
                <w:b/>
                <w:bCs/>
                <w:color w:val="FFFFFF" w:themeColor="background1"/>
              </w:rPr>
              <w:t>Qtr 6</w:t>
            </w:r>
            <w:r>
              <w:rPr>
                <w:b/>
                <w:bCs/>
                <w:color w:val="FFFFFF" w:themeColor="background1"/>
              </w:rPr>
              <w:t>8</w:t>
            </w:r>
          </w:p>
        </w:tc>
        <w:tc>
          <w:tcPr>
            <w:tcW w:w="851" w:type="dxa"/>
            <w:tcBorders>
              <w:top w:val="single" w:sz="4" w:space="0" w:color="auto"/>
              <w:left w:val="nil"/>
              <w:bottom w:val="single" w:sz="4" w:space="0" w:color="auto"/>
              <w:right w:val="single" w:sz="4" w:space="0" w:color="auto"/>
            </w:tcBorders>
            <w:shd w:val="clear" w:color="auto" w:fill="808080" w:themeFill="background1" w:themeFillShade="80"/>
          </w:tcPr>
          <w:p w14:paraId="30583B73" w14:textId="77777777" w:rsidR="006B6F53" w:rsidRPr="00224AA8" w:rsidRDefault="006B6F53" w:rsidP="00594D14">
            <w:pPr>
              <w:jc w:val="right"/>
              <w:rPr>
                <w:b/>
                <w:bCs/>
                <w:color w:val="FFFFFF" w:themeColor="background1"/>
              </w:rPr>
            </w:pPr>
            <w:r w:rsidRPr="00224AA8">
              <w:rPr>
                <w:b/>
                <w:bCs/>
                <w:color w:val="FFFFFF" w:themeColor="background1"/>
              </w:rPr>
              <w:t>Total</w:t>
            </w:r>
          </w:p>
        </w:tc>
      </w:tr>
      <w:tr w:rsidR="00F6196D" w:rsidRPr="00224AA8" w14:paraId="6D0557C0" w14:textId="77777777" w:rsidTr="00AF39B1">
        <w:trPr>
          <w:trHeight w:val="284"/>
        </w:trPr>
        <w:tc>
          <w:tcPr>
            <w:tcW w:w="2263" w:type="dxa"/>
            <w:tcBorders>
              <w:top w:val="nil"/>
              <w:left w:val="single" w:sz="4" w:space="0" w:color="auto"/>
              <w:bottom w:val="single" w:sz="4" w:space="0" w:color="auto"/>
              <w:right w:val="single" w:sz="4" w:space="0" w:color="auto"/>
            </w:tcBorders>
            <w:noWrap/>
            <w:hideMark/>
          </w:tcPr>
          <w:p w14:paraId="0AB1EB50" w14:textId="77777777" w:rsidR="00F6196D" w:rsidRPr="00224AA8" w:rsidRDefault="00F6196D" w:rsidP="00F6196D">
            <w:pPr>
              <w:spacing w:before="60" w:after="60"/>
            </w:pPr>
            <w:r w:rsidRPr="00224AA8">
              <w:t>Aurukun</w:t>
            </w:r>
          </w:p>
        </w:tc>
        <w:tc>
          <w:tcPr>
            <w:tcW w:w="851" w:type="dxa"/>
            <w:tcBorders>
              <w:top w:val="nil"/>
              <w:left w:val="nil"/>
              <w:bottom w:val="single" w:sz="4" w:space="0" w:color="auto"/>
              <w:right w:val="single" w:sz="4" w:space="0" w:color="auto"/>
            </w:tcBorders>
            <w:noWrap/>
          </w:tcPr>
          <w:p w14:paraId="669D245E" w14:textId="7D27CAEE" w:rsidR="00F6196D" w:rsidRPr="00741C1F" w:rsidRDefault="00F6196D" w:rsidP="00F6196D">
            <w:pPr>
              <w:spacing w:before="60" w:after="60"/>
              <w:jc w:val="right"/>
              <w:rPr>
                <w:rFonts w:cs="Arial"/>
              </w:rPr>
            </w:pPr>
            <w:r>
              <w:rPr>
                <w:rFonts w:cs="Arial"/>
              </w:rPr>
              <w:t>120</w:t>
            </w:r>
          </w:p>
        </w:tc>
        <w:tc>
          <w:tcPr>
            <w:tcW w:w="850" w:type="dxa"/>
            <w:tcBorders>
              <w:top w:val="nil"/>
              <w:left w:val="nil"/>
              <w:bottom w:val="single" w:sz="4" w:space="0" w:color="auto"/>
              <w:right w:val="single" w:sz="4" w:space="0" w:color="auto"/>
            </w:tcBorders>
            <w:noWrap/>
          </w:tcPr>
          <w:p w14:paraId="35890EDA" w14:textId="0FDA02A6" w:rsidR="00F6196D" w:rsidRPr="00741C1F" w:rsidRDefault="00F6196D" w:rsidP="00F6196D">
            <w:pPr>
              <w:spacing w:before="60" w:after="60"/>
              <w:jc w:val="right"/>
              <w:rPr>
                <w:rFonts w:cs="Arial"/>
              </w:rPr>
            </w:pPr>
            <w:r>
              <w:rPr>
                <w:rFonts w:cs="Arial"/>
              </w:rPr>
              <w:t>136</w:t>
            </w:r>
          </w:p>
        </w:tc>
        <w:tc>
          <w:tcPr>
            <w:tcW w:w="851" w:type="dxa"/>
            <w:tcBorders>
              <w:top w:val="nil"/>
              <w:left w:val="nil"/>
              <w:bottom w:val="single" w:sz="4" w:space="0" w:color="auto"/>
              <w:right w:val="single" w:sz="4" w:space="0" w:color="auto"/>
            </w:tcBorders>
            <w:noWrap/>
          </w:tcPr>
          <w:p w14:paraId="660B9FD4" w14:textId="6F5FC24A" w:rsidR="00F6196D" w:rsidRPr="00741C1F" w:rsidRDefault="00F6196D" w:rsidP="00F6196D">
            <w:pPr>
              <w:spacing w:before="60" w:after="60"/>
              <w:jc w:val="right"/>
              <w:rPr>
                <w:rFonts w:cs="Arial"/>
              </w:rPr>
            </w:pPr>
            <w:r>
              <w:rPr>
                <w:rFonts w:cs="Arial"/>
              </w:rPr>
              <w:t>363</w:t>
            </w:r>
          </w:p>
        </w:tc>
        <w:tc>
          <w:tcPr>
            <w:tcW w:w="850" w:type="dxa"/>
            <w:tcBorders>
              <w:top w:val="nil"/>
              <w:left w:val="nil"/>
              <w:bottom w:val="single" w:sz="4" w:space="0" w:color="auto"/>
              <w:right w:val="single" w:sz="4" w:space="0" w:color="auto"/>
            </w:tcBorders>
            <w:noWrap/>
          </w:tcPr>
          <w:p w14:paraId="66FF71AA" w14:textId="69618234" w:rsidR="00F6196D" w:rsidRPr="00741C1F" w:rsidRDefault="00F6196D" w:rsidP="00F6196D">
            <w:pPr>
              <w:spacing w:before="60" w:after="60"/>
              <w:jc w:val="right"/>
              <w:rPr>
                <w:rFonts w:cs="Arial"/>
              </w:rPr>
            </w:pPr>
            <w:r>
              <w:rPr>
                <w:rFonts w:cs="Arial"/>
              </w:rPr>
              <w:t>259</w:t>
            </w:r>
          </w:p>
        </w:tc>
        <w:tc>
          <w:tcPr>
            <w:tcW w:w="851" w:type="dxa"/>
            <w:tcBorders>
              <w:top w:val="nil"/>
              <w:left w:val="nil"/>
              <w:bottom w:val="single" w:sz="4" w:space="0" w:color="auto"/>
              <w:right w:val="single" w:sz="4" w:space="0" w:color="auto"/>
            </w:tcBorders>
          </w:tcPr>
          <w:p w14:paraId="70B864F1" w14:textId="3AFF584E" w:rsidR="00F6196D" w:rsidRPr="00741C1F" w:rsidRDefault="00F6196D" w:rsidP="00F6196D">
            <w:pPr>
              <w:spacing w:before="60" w:after="60"/>
              <w:jc w:val="right"/>
              <w:rPr>
                <w:rFonts w:cs="Arial"/>
                <w:b/>
                <w:bCs/>
              </w:rPr>
            </w:pPr>
            <w:r>
              <w:rPr>
                <w:rFonts w:cs="Arial"/>
                <w:b/>
                <w:bCs/>
              </w:rPr>
              <w:t>878</w:t>
            </w:r>
          </w:p>
        </w:tc>
      </w:tr>
      <w:tr w:rsidR="00F6196D" w:rsidRPr="00224AA8" w14:paraId="076776F7" w14:textId="77777777" w:rsidTr="00AF39B1">
        <w:trPr>
          <w:trHeight w:val="284"/>
        </w:trPr>
        <w:tc>
          <w:tcPr>
            <w:tcW w:w="2263" w:type="dxa"/>
            <w:tcBorders>
              <w:top w:val="nil"/>
              <w:left w:val="single" w:sz="4" w:space="0" w:color="auto"/>
              <w:bottom w:val="single" w:sz="4" w:space="0" w:color="auto"/>
              <w:right w:val="single" w:sz="4" w:space="0" w:color="auto"/>
            </w:tcBorders>
            <w:noWrap/>
            <w:hideMark/>
          </w:tcPr>
          <w:p w14:paraId="010457AA" w14:textId="77777777" w:rsidR="00F6196D" w:rsidRPr="00224AA8" w:rsidRDefault="00F6196D" w:rsidP="00F6196D">
            <w:pPr>
              <w:spacing w:before="60" w:after="60"/>
            </w:pPr>
            <w:r w:rsidRPr="00224AA8">
              <w:t>Coen</w:t>
            </w:r>
          </w:p>
        </w:tc>
        <w:tc>
          <w:tcPr>
            <w:tcW w:w="851" w:type="dxa"/>
            <w:tcBorders>
              <w:top w:val="nil"/>
              <w:left w:val="nil"/>
              <w:bottom w:val="single" w:sz="4" w:space="0" w:color="auto"/>
              <w:right w:val="single" w:sz="4" w:space="0" w:color="auto"/>
            </w:tcBorders>
            <w:noWrap/>
          </w:tcPr>
          <w:p w14:paraId="1EA3D26D" w14:textId="13898592" w:rsidR="00F6196D" w:rsidRPr="00741C1F" w:rsidRDefault="00F6196D" w:rsidP="00F6196D">
            <w:pPr>
              <w:spacing w:before="60" w:after="60"/>
              <w:jc w:val="right"/>
              <w:rPr>
                <w:rFonts w:cs="Arial"/>
              </w:rPr>
            </w:pPr>
            <w:r>
              <w:rPr>
                <w:rFonts w:cs="Arial"/>
              </w:rPr>
              <w:t>0</w:t>
            </w:r>
          </w:p>
        </w:tc>
        <w:tc>
          <w:tcPr>
            <w:tcW w:w="850" w:type="dxa"/>
            <w:tcBorders>
              <w:top w:val="nil"/>
              <w:left w:val="nil"/>
              <w:bottom w:val="single" w:sz="4" w:space="0" w:color="auto"/>
              <w:right w:val="single" w:sz="4" w:space="0" w:color="auto"/>
            </w:tcBorders>
            <w:noWrap/>
          </w:tcPr>
          <w:p w14:paraId="0DCC65E3" w14:textId="31151329" w:rsidR="00F6196D" w:rsidRPr="00741C1F" w:rsidRDefault="00F6196D" w:rsidP="00F6196D">
            <w:pPr>
              <w:spacing w:before="60" w:after="60"/>
              <w:jc w:val="right"/>
              <w:rPr>
                <w:rFonts w:cs="Arial"/>
              </w:rPr>
            </w:pPr>
            <w:r>
              <w:rPr>
                <w:rFonts w:cs="Arial"/>
              </w:rPr>
              <w:t>27</w:t>
            </w:r>
          </w:p>
        </w:tc>
        <w:tc>
          <w:tcPr>
            <w:tcW w:w="851" w:type="dxa"/>
            <w:tcBorders>
              <w:top w:val="nil"/>
              <w:left w:val="nil"/>
              <w:bottom w:val="single" w:sz="4" w:space="0" w:color="auto"/>
              <w:right w:val="single" w:sz="4" w:space="0" w:color="auto"/>
            </w:tcBorders>
            <w:noWrap/>
          </w:tcPr>
          <w:p w14:paraId="756D5C9D" w14:textId="08C929CD" w:rsidR="00F6196D" w:rsidRPr="00741C1F" w:rsidRDefault="00F6196D" w:rsidP="00F6196D">
            <w:pPr>
              <w:spacing w:before="60" w:after="60"/>
              <w:jc w:val="right"/>
              <w:rPr>
                <w:rFonts w:cs="Arial"/>
              </w:rPr>
            </w:pPr>
            <w:r>
              <w:rPr>
                <w:rFonts w:cs="Arial"/>
              </w:rPr>
              <w:t>44</w:t>
            </w:r>
          </w:p>
        </w:tc>
        <w:tc>
          <w:tcPr>
            <w:tcW w:w="850" w:type="dxa"/>
            <w:tcBorders>
              <w:top w:val="nil"/>
              <w:left w:val="nil"/>
              <w:bottom w:val="single" w:sz="4" w:space="0" w:color="auto"/>
              <w:right w:val="single" w:sz="4" w:space="0" w:color="auto"/>
            </w:tcBorders>
            <w:noWrap/>
          </w:tcPr>
          <w:p w14:paraId="7F86DC7E" w14:textId="6A492061" w:rsidR="00F6196D" w:rsidRPr="00741C1F" w:rsidRDefault="00F6196D" w:rsidP="00F6196D">
            <w:pPr>
              <w:spacing w:before="60" w:after="60"/>
              <w:jc w:val="right"/>
              <w:rPr>
                <w:rFonts w:cs="Arial"/>
              </w:rPr>
            </w:pPr>
            <w:r>
              <w:rPr>
                <w:rFonts w:cs="Arial"/>
              </w:rPr>
              <w:t>70</w:t>
            </w:r>
          </w:p>
        </w:tc>
        <w:tc>
          <w:tcPr>
            <w:tcW w:w="851" w:type="dxa"/>
            <w:tcBorders>
              <w:top w:val="nil"/>
              <w:left w:val="nil"/>
              <w:bottom w:val="single" w:sz="4" w:space="0" w:color="auto"/>
              <w:right w:val="single" w:sz="4" w:space="0" w:color="auto"/>
            </w:tcBorders>
          </w:tcPr>
          <w:p w14:paraId="73C5D41E" w14:textId="5A45284F" w:rsidR="00F6196D" w:rsidRPr="00741C1F" w:rsidRDefault="00F6196D" w:rsidP="00F6196D">
            <w:pPr>
              <w:spacing w:before="60" w:after="60"/>
              <w:jc w:val="right"/>
              <w:rPr>
                <w:rFonts w:cs="Arial"/>
                <w:b/>
                <w:bCs/>
              </w:rPr>
            </w:pPr>
            <w:r>
              <w:rPr>
                <w:rFonts w:cs="Arial"/>
                <w:b/>
                <w:bCs/>
              </w:rPr>
              <w:t>141</w:t>
            </w:r>
          </w:p>
        </w:tc>
      </w:tr>
      <w:tr w:rsidR="00F6196D" w:rsidRPr="00224AA8" w14:paraId="75991AEE" w14:textId="77777777" w:rsidTr="00AF39B1">
        <w:trPr>
          <w:trHeight w:val="284"/>
        </w:trPr>
        <w:tc>
          <w:tcPr>
            <w:tcW w:w="2263" w:type="dxa"/>
            <w:tcBorders>
              <w:top w:val="nil"/>
              <w:left w:val="single" w:sz="4" w:space="0" w:color="auto"/>
              <w:bottom w:val="single" w:sz="4" w:space="0" w:color="auto"/>
              <w:right w:val="single" w:sz="4" w:space="0" w:color="auto"/>
            </w:tcBorders>
            <w:noWrap/>
            <w:hideMark/>
          </w:tcPr>
          <w:p w14:paraId="274BA325" w14:textId="77777777" w:rsidR="00F6196D" w:rsidRPr="00224AA8" w:rsidRDefault="00F6196D" w:rsidP="00F6196D">
            <w:pPr>
              <w:spacing w:before="60" w:after="60"/>
            </w:pPr>
            <w:r w:rsidRPr="00224AA8">
              <w:t>Doomadgee</w:t>
            </w:r>
          </w:p>
        </w:tc>
        <w:tc>
          <w:tcPr>
            <w:tcW w:w="851" w:type="dxa"/>
            <w:tcBorders>
              <w:top w:val="nil"/>
              <w:left w:val="nil"/>
              <w:bottom w:val="single" w:sz="4" w:space="0" w:color="auto"/>
              <w:right w:val="single" w:sz="4" w:space="0" w:color="auto"/>
            </w:tcBorders>
            <w:noWrap/>
          </w:tcPr>
          <w:p w14:paraId="1BBE8BE0" w14:textId="64D70EC0" w:rsidR="00F6196D" w:rsidRPr="00741C1F" w:rsidRDefault="00F6196D" w:rsidP="00F6196D">
            <w:pPr>
              <w:spacing w:before="60" w:after="60"/>
              <w:jc w:val="right"/>
              <w:rPr>
                <w:rFonts w:cs="Arial"/>
              </w:rPr>
            </w:pPr>
            <w:r>
              <w:rPr>
                <w:rFonts w:cs="Arial"/>
              </w:rPr>
              <w:t>87</w:t>
            </w:r>
          </w:p>
        </w:tc>
        <w:tc>
          <w:tcPr>
            <w:tcW w:w="850" w:type="dxa"/>
            <w:tcBorders>
              <w:top w:val="nil"/>
              <w:left w:val="nil"/>
              <w:bottom w:val="single" w:sz="4" w:space="0" w:color="auto"/>
              <w:right w:val="single" w:sz="4" w:space="0" w:color="auto"/>
            </w:tcBorders>
            <w:noWrap/>
          </w:tcPr>
          <w:p w14:paraId="7808C426" w14:textId="0DBE147E" w:rsidR="00F6196D" w:rsidRPr="00741C1F" w:rsidRDefault="00F6196D" w:rsidP="00F6196D">
            <w:pPr>
              <w:spacing w:before="60" w:after="60"/>
              <w:jc w:val="right"/>
              <w:rPr>
                <w:rFonts w:cs="Arial"/>
              </w:rPr>
            </w:pPr>
            <w:r>
              <w:rPr>
                <w:rFonts w:cs="Arial"/>
              </w:rPr>
              <w:t>15</w:t>
            </w:r>
          </w:p>
        </w:tc>
        <w:tc>
          <w:tcPr>
            <w:tcW w:w="851" w:type="dxa"/>
            <w:tcBorders>
              <w:top w:val="nil"/>
              <w:left w:val="nil"/>
              <w:bottom w:val="single" w:sz="4" w:space="0" w:color="auto"/>
              <w:right w:val="single" w:sz="4" w:space="0" w:color="auto"/>
            </w:tcBorders>
            <w:noWrap/>
          </w:tcPr>
          <w:p w14:paraId="0359D35B" w14:textId="31DFF037" w:rsidR="00F6196D" w:rsidRPr="00741C1F" w:rsidRDefault="00F6196D" w:rsidP="00F6196D">
            <w:pPr>
              <w:spacing w:before="60" w:after="60"/>
              <w:jc w:val="right"/>
              <w:rPr>
                <w:rFonts w:cs="Arial"/>
              </w:rPr>
            </w:pPr>
            <w:r>
              <w:rPr>
                <w:rFonts w:cs="Arial"/>
              </w:rPr>
              <w:t>46</w:t>
            </w:r>
          </w:p>
        </w:tc>
        <w:tc>
          <w:tcPr>
            <w:tcW w:w="850" w:type="dxa"/>
            <w:tcBorders>
              <w:top w:val="nil"/>
              <w:left w:val="nil"/>
              <w:bottom w:val="single" w:sz="4" w:space="0" w:color="auto"/>
              <w:right w:val="single" w:sz="4" w:space="0" w:color="auto"/>
            </w:tcBorders>
            <w:noWrap/>
          </w:tcPr>
          <w:p w14:paraId="280DECC1" w14:textId="1DF8AF59" w:rsidR="00F6196D" w:rsidRPr="00741C1F" w:rsidRDefault="00F6196D" w:rsidP="00F6196D">
            <w:pPr>
              <w:spacing w:before="60" w:after="60"/>
              <w:jc w:val="right"/>
              <w:rPr>
                <w:rFonts w:cs="Arial"/>
              </w:rPr>
            </w:pPr>
            <w:r>
              <w:rPr>
                <w:rFonts w:cs="Arial"/>
              </w:rPr>
              <w:t>90</w:t>
            </w:r>
          </w:p>
        </w:tc>
        <w:tc>
          <w:tcPr>
            <w:tcW w:w="851" w:type="dxa"/>
            <w:tcBorders>
              <w:top w:val="nil"/>
              <w:left w:val="nil"/>
              <w:bottom w:val="single" w:sz="4" w:space="0" w:color="auto"/>
              <w:right w:val="single" w:sz="4" w:space="0" w:color="auto"/>
            </w:tcBorders>
          </w:tcPr>
          <w:p w14:paraId="39405F69" w14:textId="02E18915" w:rsidR="00F6196D" w:rsidRPr="00741C1F" w:rsidRDefault="00F6196D" w:rsidP="00F6196D">
            <w:pPr>
              <w:spacing w:before="60" w:after="60"/>
              <w:jc w:val="right"/>
              <w:rPr>
                <w:rFonts w:cs="Arial"/>
                <w:b/>
                <w:bCs/>
              </w:rPr>
            </w:pPr>
            <w:r>
              <w:rPr>
                <w:rFonts w:cs="Arial"/>
                <w:b/>
                <w:bCs/>
              </w:rPr>
              <w:t>238</w:t>
            </w:r>
          </w:p>
        </w:tc>
      </w:tr>
      <w:tr w:rsidR="00F6196D" w:rsidRPr="00224AA8" w14:paraId="2CAB9887" w14:textId="77777777" w:rsidTr="00AF39B1">
        <w:trPr>
          <w:trHeight w:val="284"/>
        </w:trPr>
        <w:tc>
          <w:tcPr>
            <w:tcW w:w="2263" w:type="dxa"/>
            <w:tcBorders>
              <w:top w:val="nil"/>
              <w:left w:val="single" w:sz="4" w:space="0" w:color="auto"/>
              <w:bottom w:val="single" w:sz="4" w:space="0" w:color="auto"/>
              <w:right w:val="single" w:sz="4" w:space="0" w:color="auto"/>
            </w:tcBorders>
            <w:noWrap/>
            <w:hideMark/>
          </w:tcPr>
          <w:p w14:paraId="0DAB09DC" w14:textId="77777777" w:rsidR="00F6196D" w:rsidRPr="00224AA8" w:rsidRDefault="00F6196D" w:rsidP="00F6196D">
            <w:pPr>
              <w:spacing w:before="60" w:after="60"/>
            </w:pPr>
            <w:r w:rsidRPr="00224AA8">
              <w:t>Hope Vale</w:t>
            </w:r>
          </w:p>
        </w:tc>
        <w:tc>
          <w:tcPr>
            <w:tcW w:w="851" w:type="dxa"/>
            <w:tcBorders>
              <w:top w:val="nil"/>
              <w:left w:val="nil"/>
              <w:bottom w:val="single" w:sz="4" w:space="0" w:color="auto"/>
              <w:right w:val="single" w:sz="4" w:space="0" w:color="auto"/>
            </w:tcBorders>
            <w:noWrap/>
          </w:tcPr>
          <w:p w14:paraId="75A5F7E3" w14:textId="4716F9EA" w:rsidR="00F6196D" w:rsidRPr="00741C1F" w:rsidRDefault="00F6196D" w:rsidP="00F6196D">
            <w:pPr>
              <w:spacing w:before="60" w:after="60"/>
              <w:jc w:val="right"/>
              <w:rPr>
                <w:rFonts w:cs="Arial"/>
              </w:rPr>
            </w:pPr>
            <w:r>
              <w:rPr>
                <w:rFonts w:cs="Arial"/>
              </w:rPr>
              <w:t>37</w:t>
            </w:r>
          </w:p>
        </w:tc>
        <w:tc>
          <w:tcPr>
            <w:tcW w:w="850" w:type="dxa"/>
            <w:tcBorders>
              <w:top w:val="nil"/>
              <w:left w:val="nil"/>
              <w:bottom w:val="single" w:sz="4" w:space="0" w:color="auto"/>
              <w:right w:val="single" w:sz="4" w:space="0" w:color="auto"/>
            </w:tcBorders>
            <w:noWrap/>
          </w:tcPr>
          <w:p w14:paraId="7B23BDCA" w14:textId="241C116E" w:rsidR="00F6196D" w:rsidRPr="00741C1F" w:rsidRDefault="00F6196D" w:rsidP="00F6196D">
            <w:pPr>
              <w:spacing w:before="60" w:after="60"/>
              <w:jc w:val="right"/>
              <w:rPr>
                <w:rFonts w:cs="Arial"/>
              </w:rPr>
            </w:pPr>
            <w:r>
              <w:rPr>
                <w:rFonts w:cs="Arial"/>
              </w:rPr>
              <w:t>10</w:t>
            </w:r>
          </w:p>
        </w:tc>
        <w:tc>
          <w:tcPr>
            <w:tcW w:w="851" w:type="dxa"/>
            <w:tcBorders>
              <w:top w:val="nil"/>
              <w:left w:val="nil"/>
              <w:bottom w:val="single" w:sz="4" w:space="0" w:color="auto"/>
              <w:right w:val="single" w:sz="4" w:space="0" w:color="auto"/>
            </w:tcBorders>
            <w:noWrap/>
          </w:tcPr>
          <w:p w14:paraId="2534F82E" w14:textId="103BAD54" w:rsidR="00F6196D" w:rsidRPr="00741C1F" w:rsidRDefault="00F6196D" w:rsidP="00F6196D">
            <w:pPr>
              <w:spacing w:before="60" w:after="60"/>
              <w:jc w:val="right"/>
              <w:rPr>
                <w:rFonts w:cs="Arial"/>
              </w:rPr>
            </w:pPr>
            <w:r>
              <w:rPr>
                <w:rFonts w:cs="Arial"/>
              </w:rPr>
              <w:t>160</w:t>
            </w:r>
          </w:p>
        </w:tc>
        <w:tc>
          <w:tcPr>
            <w:tcW w:w="850" w:type="dxa"/>
            <w:tcBorders>
              <w:top w:val="nil"/>
              <w:left w:val="nil"/>
              <w:bottom w:val="single" w:sz="4" w:space="0" w:color="auto"/>
              <w:right w:val="single" w:sz="4" w:space="0" w:color="auto"/>
            </w:tcBorders>
            <w:noWrap/>
          </w:tcPr>
          <w:p w14:paraId="7C21B1AF" w14:textId="1855B336" w:rsidR="00F6196D" w:rsidRPr="00741C1F" w:rsidRDefault="00F6196D" w:rsidP="00F6196D">
            <w:pPr>
              <w:spacing w:before="60" w:after="60"/>
              <w:jc w:val="right"/>
              <w:rPr>
                <w:rFonts w:cs="Arial"/>
              </w:rPr>
            </w:pPr>
            <w:r>
              <w:rPr>
                <w:rFonts w:cs="Arial"/>
              </w:rPr>
              <w:t>174</w:t>
            </w:r>
          </w:p>
        </w:tc>
        <w:tc>
          <w:tcPr>
            <w:tcW w:w="851" w:type="dxa"/>
            <w:tcBorders>
              <w:top w:val="nil"/>
              <w:left w:val="nil"/>
              <w:bottom w:val="single" w:sz="4" w:space="0" w:color="auto"/>
              <w:right w:val="single" w:sz="4" w:space="0" w:color="auto"/>
            </w:tcBorders>
          </w:tcPr>
          <w:p w14:paraId="33AA7086" w14:textId="760E0A6E" w:rsidR="00F6196D" w:rsidRPr="00741C1F" w:rsidRDefault="00F6196D" w:rsidP="00F6196D">
            <w:pPr>
              <w:spacing w:before="60" w:after="60"/>
              <w:jc w:val="right"/>
              <w:rPr>
                <w:rFonts w:cs="Arial"/>
                <w:b/>
                <w:bCs/>
              </w:rPr>
            </w:pPr>
            <w:r>
              <w:rPr>
                <w:rFonts w:cs="Arial"/>
                <w:b/>
                <w:bCs/>
              </w:rPr>
              <w:t>381</w:t>
            </w:r>
          </w:p>
        </w:tc>
      </w:tr>
      <w:tr w:rsidR="00F6196D" w:rsidRPr="00224AA8" w14:paraId="14892F78" w14:textId="77777777" w:rsidTr="00AF39B1">
        <w:trPr>
          <w:trHeight w:val="284"/>
        </w:trPr>
        <w:tc>
          <w:tcPr>
            <w:tcW w:w="2263" w:type="dxa"/>
            <w:tcBorders>
              <w:top w:val="nil"/>
              <w:left w:val="single" w:sz="4" w:space="0" w:color="auto"/>
              <w:bottom w:val="single" w:sz="4" w:space="0" w:color="auto"/>
              <w:right w:val="single" w:sz="4" w:space="0" w:color="auto"/>
            </w:tcBorders>
            <w:noWrap/>
          </w:tcPr>
          <w:p w14:paraId="4E073055" w14:textId="77777777" w:rsidR="00F6196D" w:rsidRPr="00224AA8" w:rsidRDefault="00F6196D" w:rsidP="00F6196D">
            <w:pPr>
              <w:spacing w:before="60" w:after="60"/>
            </w:pPr>
            <w:r w:rsidRPr="00224AA8">
              <w:t>Mossman Gorge</w:t>
            </w:r>
          </w:p>
        </w:tc>
        <w:tc>
          <w:tcPr>
            <w:tcW w:w="851" w:type="dxa"/>
            <w:tcBorders>
              <w:top w:val="nil"/>
              <w:left w:val="nil"/>
              <w:bottom w:val="single" w:sz="4" w:space="0" w:color="auto"/>
              <w:right w:val="single" w:sz="4" w:space="0" w:color="auto"/>
            </w:tcBorders>
            <w:noWrap/>
          </w:tcPr>
          <w:p w14:paraId="04D61D0D" w14:textId="57F835D5" w:rsidR="00F6196D" w:rsidRPr="00741C1F" w:rsidRDefault="00F6196D" w:rsidP="00F6196D">
            <w:pPr>
              <w:spacing w:before="60" w:after="60"/>
              <w:jc w:val="right"/>
              <w:rPr>
                <w:rFonts w:cs="Arial"/>
              </w:rPr>
            </w:pPr>
            <w:r>
              <w:rPr>
                <w:rFonts w:cs="Arial"/>
              </w:rPr>
              <w:t>15</w:t>
            </w:r>
          </w:p>
        </w:tc>
        <w:tc>
          <w:tcPr>
            <w:tcW w:w="850" w:type="dxa"/>
            <w:tcBorders>
              <w:top w:val="nil"/>
              <w:left w:val="nil"/>
              <w:bottom w:val="single" w:sz="4" w:space="0" w:color="auto"/>
              <w:right w:val="single" w:sz="4" w:space="0" w:color="auto"/>
            </w:tcBorders>
            <w:noWrap/>
          </w:tcPr>
          <w:p w14:paraId="25252BFA" w14:textId="7B2F08CC" w:rsidR="00F6196D" w:rsidRPr="00741C1F" w:rsidRDefault="00F6196D" w:rsidP="00F6196D">
            <w:pPr>
              <w:spacing w:before="60" w:after="60"/>
              <w:jc w:val="right"/>
              <w:rPr>
                <w:rFonts w:cs="Arial"/>
              </w:rPr>
            </w:pPr>
            <w:r>
              <w:rPr>
                <w:rFonts w:cs="Arial"/>
              </w:rPr>
              <w:t>25</w:t>
            </w:r>
          </w:p>
        </w:tc>
        <w:tc>
          <w:tcPr>
            <w:tcW w:w="851" w:type="dxa"/>
            <w:tcBorders>
              <w:top w:val="nil"/>
              <w:left w:val="nil"/>
              <w:bottom w:val="single" w:sz="4" w:space="0" w:color="auto"/>
              <w:right w:val="single" w:sz="4" w:space="0" w:color="auto"/>
            </w:tcBorders>
            <w:noWrap/>
          </w:tcPr>
          <w:p w14:paraId="1E14EEC3" w14:textId="5A378331" w:rsidR="00F6196D" w:rsidRPr="00741C1F" w:rsidRDefault="00F6196D" w:rsidP="00F6196D">
            <w:pPr>
              <w:spacing w:before="60" w:after="60"/>
              <w:jc w:val="right"/>
              <w:rPr>
                <w:rFonts w:cs="Arial"/>
              </w:rPr>
            </w:pPr>
            <w:r>
              <w:rPr>
                <w:rFonts w:cs="Arial"/>
              </w:rPr>
              <w:t>62</w:t>
            </w:r>
          </w:p>
        </w:tc>
        <w:tc>
          <w:tcPr>
            <w:tcW w:w="850" w:type="dxa"/>
            <w:tcBorders>
              <w:top w:val="nil"/>
              <w:left w:val="nil"/>
              <w:bottom w:val="single" w:sz="4" w:space="0" w:color="auto"/>
              <w:right w:val="single" w:sz="4" w:space="0" w:color="auto"/>
            </w:tcBorders>
            <w:noWrap/>
          </w:tcPr>
          <w:p w14:paraId="2418799F" w14:textId="7F392B4E" w:rsidR="00F6196D" w:rsidRPr="00741C1F" w:rsidRDefault="00F6196D" w:rsidP="00F6196D">
            <w:pPr>
              <w:spacing w:before="60" w:after="60"/>
              <w:jc w:val="right"/>
              <w:rPr>
                <w:rFonts w:cs="Arial"/>
              </w:rPr>
            </w:pPr>
            <w:r>
              <w:rPr>
                <w:rFonts w:cs="Arial"/>
              </w:rPr>
              <w:t>56</w:t>
            </w:r>
          </w:p>
        </w:tc>
        <w:tc>
          <w:tcPr>
            <w:tcW w:w="851" w:type="dxa"/>
            <w:tcBorders>
              <w:top w:val="nil"/>
              <w:left w:val="nil"/>
              <w:bottom w:val="single" w:sz="4" w:space="0" w:color="auto"/>
              <w:right w:val="single" w:sz="4" w:space="0" w:color="auto"/>
            </w:tcBorders>
          </w:tcPr>
          <w:p w14:paraId="59FE86E0" w14:textId="4D05F9D8" w:rsidR="00F6196D" w:rsidRPr="00741C1F" w:rsidRDefault="00F6196D" w:rsidP="00F6196D">
            <w:pPr>
              <w:spacing w:before="60" w:after="60"/>
              <w:jc w:val="right"/>
              <w:rPr>
                <w:rFonts w:cs="Arial"/>
                <w:b/>
                <w:bCs/>
              </w:rPr>
            </w:pPr>
            <w:r>
              <w:rPr>
                <w:rFonts w:cs="Arial"/>
                <w:b/>
                <w:bCs/>
              </w:rPr>
              <w:t>158</w:t>
            </w:r>
          </w:p>
        </w:tc>
      </w:tr>
      <w:tr w:rsidR="00F6196D" w:rsidRPr="00224AA8" w14:paraId="6834D505" w14:textId="77777777" w:rsidTr="00AF39B1">
        <w:trPr>
          <w:trHeight w:val="284"/>
        </w:trPr>
        <w:tc>
          <w:tcPr>
            <w:tcW w:w="2263" w:type="dxa"/>
            <w:tcBorders>
              <w:top w:val="single" w:sz="4" w:space="0" w:color="auto"/>
              <w:left w:val="single" w:sz="4" w:space="0" w:color="auto"/>
              <w:bottom w:val="single" w:sz="4" w:space="0" w:color="auto"/>
              <w:right w:val="single" w:sz="4" w:space="0" w:color="auto"/>
            </w:tcBorders>
            <w:noWrap/>
          </w:tcPr>
          <w:p w14:paraId="6DEEDE3D" w14:textId="77777777" w:rsidR="00F6196D" w:rsidRPr="00224AA8" w:rsidRDefault="00F6196D" w:rsidP="00F6196D">
            <w:pPr>
              <w:spacing w:before="60" w:after="60"/>
              <w:rPr>
                <w:b/>
                <w:bCs/>
              </w:rPr>
            </w:pPr>
            <w:r w:rsidRPr="00224AA8">
              <w:rPr>
                <w:b/>
                <w:bCs/>
              </w:rPr>
              <w:t>Total</w:t>
            </w:r>
          </w:p>
        </w:tc>
        <w:tc>
          <w:tcPr>
            <w:tcW w:w="851" w:type="dxa"/>
            <w:tcBorders>
              <w:top w:val="single" w:sz="4" w:space="0" w:color="auto"/>
              <w:left w:val="nil"/>
              <w:bottom w:val="single" w:sz="4" w:space="0" w:color="auto"/>
              <w:right w:val="single" w:sz="4" w:space="0" w:color="auto"/>
            </w:tcBorders>
            <w:noWrap/>
          </w:tcPr>
          <w:p w14:paraId="7FD0CD95" w14:textId="5BD4106E" w:rsidR="00F6196D" w:rsidRPr="00741C1F" w:rsidRDefault="00F6196D" w:rsidP="00F6196D">
            <w:pPr>
              <w:spacing w:before="60" w:after="60"/>
              <w:jc w:val="right"/>
              <w:rPr>
                <w:rFonts w:cs="Arial"/>
                <w:b/>
                <w:bCs/>
              </w:rPr>
            </w:pPr>
            <w:r>
              <w:rPr>
                <w:rFonts w:cs="Arial"/>
                <w:b/>
                <w:bCs/>
              </w:rPr>
              <w:t>259</w:t>
            </w:r>
          </w:p>
        </w:tc>
        <w:tc>
          <w:tcPr>
            <w:tcW w:w="850" w:type="dxa"/>
            <w:tcBorders>
              <w:top w:val="single" w:sz="4" w:space="0" w:color="auto"/>
              <w:left w:val="nil"/>
              <w:bottom w:val="single" w:sz="4" w:space="0" w:color="auto"/>
              <w:right w:val="single" w:sz="4" w:space="0" w:color="auto"/>
            </w:tcBorders>
            <w:noWrap/>
          </w:tcPr>
          <w:p w14:paraId="086BBE0D" w14:textId="68494093" w:rsidR="00F6196D" w:rsidRPr="00741C1F" w:rsidRDefault="00F6196D" w:rsidP="00F6196D">
            <w:pPr>
              <w:spacing w:before="60" w:after="60"/>
              <w:jc w:val="right"/>
              <w:rPr>
                <w:rFonts w:cs="Arial"/>
                <w:b/>
                <w:bCs/>
              </w:rPr>
            </w:pPr>
            <w:r>
              <w:rPr>
                <w:rFonts w:cs="Arial"/>
                <w:b/>
                <w:bCs/>
              </w:rPr>
              <w:t>213</w:t>
            </w:r>
          </w:p>
        </w:tc>
        <w:tc>
          <w:tcPr>
            <w:tcW w:w="851" w:type="dxa"/>
            <w:tcBorders>
              <w:top w:val="single" w:sz="4" w:space="0" w:color="auto"/>
              <w:left w:val="nil"/>
              <w:bottom w:val="single" w:sz="4" w:space="0" w:color="auto"/>
              <w:right w:val="single" w:sz="4" w:space="0" w:color="auto"/>
            </w:tcBorders>
            <w:noWrap/>
          </w:tcPr>
          <w:p w14:paraId="2866A203" w14:textId="5CCAF816" w:rsidR="00F6196D" w:rsidRPr="00741C1F" w:rsidRDefault="00F6196D" w:rsidP="00F6196D">
            <w:pPr>
              <w:spacing w:before="60" w:after="60"/>
              <w:jc w:val="right"/>
              <w:rPr>
                <w:rFonts w:cs="Arial"/>
                <w:b/>
                <w:bCs/>
              </w:rPr>
            </w:pPr>
            <w:r>
              <w:rPr>
                <w:rFonts w:cs="Arial"/>
                <w:b/>
                <w:bCs/>
              </w:rPr>
              <w:t>675</w:t>
            </w:r>
          </w:p>
        </w:tc>
        <w:tc>
          <w:tcPr>
            <w:tcW w:w="850" w:type="dxa"/>
            <w:tcBorders>
              <w:top w:val="single" w:sz="4" w:space="0" w:color="auto"/>
              <w:left w:val="nil"/>
              <w:bottom w:val="single" w:sz="4" w:space="0" w:color="auto"/>
              <w:right w:val="single" w:sz="4" w:space="0" w:color="auto"/>
            </w:tcBorders>
            <w:noWrap/>
          </w:tcPr>
          <w:p w14:paraId="046203CB" w14:textId="14CB85B9" w:rsidR="00F6196D" w:rsidRPr="00741C1F" w:rsidRDefault="00F6196D" w:rsidP="00F6196D">
            <w:pPr>
              <w:spacing w:before="60" w:after="60"/>
              <w:jc w:val="right"/>
              <w:rPr>
                <w:rFonts w:cs="Arial"/>
                <w:b/>
                <w:bCs/>
              </w:rPr>
            </w:pPr>
            <w:r>
              <w:rPr>
                <w:rFonts w:cs="Arial"/>
                <w:b/>
                <w:bCs/>
              </w:rPr>
              <w:t>649</w:t>
            </w:r>
          </w:p>
        </w:tc>
        <w:tc>
          <w:tcPr>
            <w:tcW w:w="851" w:type="dxa"/>
            <w:tcBorders>
              <w:top w:val="single" w:sz="4" w:space="0" w:color="auto"/>
              <w:left w:val="nil"/>
              <w:bottom w:val="single" w:sz="4" w:space="0" w:color="auto"/>
              <w:right w:val="single" w:sz="4" w:space="0" w:color="auto"/>
            </w:tcBorders>
          </w:tcPr>
          <w:p w14:paraId="3F3826C9" w14:textId="499E2B74" w:rsidR="00F6196D" w:rsidRPr="00741C1F" w:rsidRDefault="00F6196D" w:rsidP="00F6196D">
            <w:pPr>
              <w:spacing w:before="60" w:after="60"/>
              <w:jc w:val="right"/>
              <w:rPr>
                <w:rFonts w:cs="Arial"/>
                <w:b/>
                <w:bCs/>
              </w:rPr>
            </w:pPr>
            <w:r>
              <w:rPr>
                <w:rFonts w:cs="Arial"/>
                <w:b/>
                <w:bCs/>
              </w:rPr>
              <w:t>1,796</w:t>
            </w:r>
          </w:p>
        </w:tc>
      </w:tr>
    </w:tbl>
    <w:p w14:paraId="4DDCFF27" w14:textId="77777777" w:rsidR="006B6F53" w:rsidRDefault="006B6F53" w:rsidP="006B6F53"/>
    <w:p w14:paraId="323548F2" w14:textId="73508ECF" w:rsidR="006B6F53" w:rsidRDefault="006B6F53" w:rsidP="006B6F53">
      <w:pPr>
        <w:rPr>
          <w:szCs w:val="20"/>
        </w:rPr>
      </w:pPr>
      <w:r w:rsidRPr="007D4D11">
        <w:rPr>
          <w:szCs w:val="20"/>
        </w:rPr>
        <w:t xml:space="preserve">In addition to the </w:t>
      </w:r>
      <w:r w:rsidR="00BB185C">
        <w:rPr>
          <w:szCs w:val="20"/>
        </w:rPr>
        <w:t>CEs</w:t>
      </w:r>
      <w:r w:rsidRPr="007D4D11">
        <w:rPr>
          <w:szCs w:val="20"/>
        </w:rPr>
        <w:t xml:space="preserve"> held </w:t>
      </w:r>
      <w:r>
        <w:rPr>
          <w:szCs w:val="20"/>
        </w:rPr>
        <w:t xml:space="preserve">in 2024-25 </w:t>
      </w:r>
      <w:r w:rsidRPr="007D4D11">
        <w:rPr>
          <w:szCs w:val="20"/>
        </w:rPr>
        <w:t xml:space="preserve">(see table 7 </w:t>
      </w:r>
      <w:r>
        <w:rPr>
          <w:szCs w:val="20"/>
        </w:rPr>
        <w:t>above</w:t>
      </w:r>
      <w:r w:rsidRPr="007D4D11">
        <w:rPr>
          <w:szCs w:val="20"/>
        </w:rPr>
        <w:t xml:space="preserve">) there was </w:t>
      </w:r>
      <w:r w:rsidR="002655B9">
        <w:rPr>
          <w:szCs w:val="20"/>
        </w:rPr>
        <w:t xml:space="preserve">543 </w:t>
      </w:r>
      <w:r w:rsidR="002655B9" w:rsidRPr="00B7033B">
        <w:rPr>
          <w:szCs w:val="20"/>
        </w:rPr>
        <w:t xml:space="preserve">non-contact CE activities with 50 instances related to administrative support, such as preparation for upcoming CEs and 493 instances involved unsuccessful attempts to engage with a client for the following reasons: medical, no longer living in community, not suitable time, out of the community, in prison, sorry business, substance affected/aggressive and unable to locate. </w:t>
      </w:r>
      <w:r w:rsidRPr="007D4D11">
        <w:rPr>
          <w:szCs w:val="20"/>
        </w:rPr>
        <w:t>The most frequent reason for no</w:t>
      </w:r>
      <w:r>
        <w:rPr>
          <w:szCs w:val="20"/>
        </w:rPr>
        <w:t xml:space="preserve">n-engagement </w:t>
      </w:r>
      <w:r w:rsidRPr="007D4D11">
        <w:rPr>
          <w:szCs w:val="20"/>
        </w:rPr>
        <w:t>was “</w:t>
      </w:r>
      <w:r>
        <w:rPr>
          <w:szCs w:val="20"/>
        </w:rPr>
        <w:t>unable to locate”</w:t>
      </w:r>
      <w:r w:rsidRPr="007D4D11">
        <w:rPr>
          <w:szCs w:val="20"/>
        </w:rPr>
        <w:t xml:space="preserve"> (</w:t>
      </w:r>
      <w:r>
        <w:rPr>
          <w:szCs w:val="20"/>
        </w:rPr>
        <w:t>34</w:t>
      </w:r>
      <w:r w:rsidRPr="007D4D11">
        <w:rPr>
          <w:szCs w:val="20"/>
        </w:rPr>
        <w:t>%), followed by “</w:t>
      </w:r>
      <w:r>
        <w:rPr>
          <w:szCs w:val="20"/>
        </w:rPr>
        <w:t>out of community”</w:t>
      </w:r>
      <w:r w:rsidRPr="007D4D11">
        <w:rPr>
          <w:szCs w:val="20"/>
        </w:rPr>
        <w:t xml:space="preserve"> (</w:t>
      </w:r>
      <w:r>
        <w:rPr>
          <w:szCs w:val="20"/>
        </w:rPr>
        <w:t>2</w:t>
      </w:r>
      <w:r w:rsidRPr="007D4D11">
        <w:rPr>
          <w:szCs w:val="20"/>
        </w:rPr>
        <w:t xml:space="preserve">4%) and </w:t>
      </w:r>
      <w:r>
        <w:rPr>
          <w:szCs w:val="20"/>
        </w:rPr>
        <w:t>“</w:t>
      </w:r>
      <w:r w:rsidRPr="007D4D11">
        <w:rPr>
          <w:szCs w:val="20"/>
        </w:rPr>
        <w:t>sorry business</w:t>
      </w:r>
      <w:r>
        <w:rPr>
          <w:szCs w:val="20"/>
        </w:rPr>
        <w:t>”</w:t>
      </w:r>
      <w:r w:rsidRPr="007D4D11">
        <w:rPr>
          <w:szCs w:val="20"/>
        </w:rPr>
        <w:t xml:space="preserve"> (18%).</w:t>
      </w:r>
    </w:p>
    <w:p w14:paraId="413C3438" w14:textId="77777777" w:rsidR="006B6F53" w:rsidRPr="00224AA8" w:rsidRDefault="006B6F53" w:rsidP="006B6F53"/>
    <w:p w14:paraId="3DAC2D0C" w14:textId="77777777" w:rsidR="006B6F53" w:rsidRPr="00224AA8" w:rsidRDefault="006B6F53" w:rsidP="006B6F53">
      <w:pPr>
        <w:pStyle w:val="Heading5"/>
      </w:pPr>
      <w:r w:rsidRPr="00224AA8">
        <w:t>Clients on conditional income management</w:t>
      </w:r>
    </w:p>
    <w:p w14:paraId="2FC93EB2" w14:textId="77777777" w:rsidR="00DF7BBA" w:rsidRPr="00224AA8" w:rsidRDefault="00DF7BBA" w:rsidP="00DF7BBA">
      <w:r w:rsidRPr="00224AA8">
        <w:t>From 1 July 202</w:t>
      </w:r>
      <w:r>
        <w:t>4</w:t>
      </w:r>
      <w:r w:rsidRPr="00224AA8">
        <w:t xml:space="preserve"> to 30 June 202</w:t>
      </w:r>
      <w:r>
        <w:t>5</w:t>
      </w:r>
      <w:r w:rsidRPr="00224AA8">
        <w:t>, there w</w:t>
      </w:r>
      <w:r>
        <w:t>ere</w:t>
      </w:r>
      <w:r w:rsidRPr="00224AA8">
        <w:t xml:space="preserve"> a total of </w:t>
      </w:r>
      <w:r>
        <w:t>36</w:t>
      </w:r>
      <w:r w:rsidRPr="00224AA8">
        <w:t xml:space="preserve"> CIMs (a decrease of </w:t>
      </w:r>
      <w:r>
        <w:t>33</w:t>
      </w:r>
      <w:r w:rsidRPr="00224AA8">
        <w:t xml:space="preserve">% from </w:t>
      </w:r>
      <w:r>
        <w:t>5</w:t>
      </w:r>
      <w:r w:rsidRPr="00224AA8">
        <w:t>4 CIMs in 202</w:t>
      </w:r>
      <w:r>
        <w:t>3</w:t>
      </w:r>
      <w:r w:rsidRPr="00224AA8">
        <w:t>-2</w:t>
      </w:r>
      <w:r>
        <w:t>4</w:t>
      </w:r>
      <w:r w:rsidRPr="00224AA8">
        <w:t xml:space="preserve">) relating to </w:t>
      </w:r>
      <w:r>
        <w:t>33</w:t>
      </w:r>
      <w:r w:rsidRPr="00224AA8">
        <w:t xml:space="preserve"> clients.</w:t>
      </w:r>
    </w:p>
    <w:p w14:paraId="5676F50D" w14:textId="77777777" w:rsidR="00DF7BBA" w:rsidRPr="00224AA8" w:rsidRDefault="00DF7BBA" w:rsidP="00DF7BBA">
      <w:r w:rsidRPr="00224AA8">
        <w:t>As at 30 June 202</w:t>
      </w:r>
      <w:r>
        <w:t>5</w:t>
      </w:r>
      <w:r w:rsidRPr="00224AA8">
        <w:t xml:space="preserve">, there were </w:t>
      </w:r>
      <w:r>
        <w:t>9</w:t>
      </w:r>
      <w:r w:rsidRPr="00224AA8">
        <w:t xml:space="preserve"> clients subject to a CIM with </w:t>
      </w:r>
      <w:r>
        <w:t>4</w:t>
      </w:r>
      <w:r w:rsidRPr="00224AA8">
        <w:t xml:space="preserve">4% at </w:t>
      </w:r>
      <w:r>
        <w:t xml:space="preserve">60 percent, 44% at </w:t>
      </w:r>
      <w:r w:rsidRPr="00224AA8">
        <w:t xml:space="preserve">75 percent and </w:t>
      </w:r>
      <w:r>
        <w:t>44</w:t>
      </w:r>
      <w:r w:rsidRPr="00224AA8">
        <w:t>% for a 6</w:t>
      </w:r>
      <w:r>
        <w:t xml:space="preserve"> </w:t>
      </w:r>
      <w:r w:rsidRPr="00224AA8">
        <w:t xml:space="preserve">month duration. As a subset of the total number of CIMs in the financial year, </w:t>
      </w:r>
      <w:r>
        <w:t>11</w:t>
      </w:r>
      <w:r w:rsidRPr="00224AA8">
        <w:t xml:space="preserve"> CIMs were made at conference in relation to DV notifying behaviours.</w:t>
      </w:r>
    </w:p>
    <w:p w14:paraId="2CA3CB04" w14:textId="77777777" w:rsidR="00DF7BBA" w:rsidRPr="00224AA8" w:rsidRDefault="00DF7BBA" w:rsidP="00DF7BBA">
      <w:r w:rsidRPr="00224AA8">
        <w:t>The statistical information provided in graphs 9 and 10 demonstrates the FRC’s continued use of CIM is proportionate to the client’s circumstances and that CIM is used to encourage personal responsibility with terms and percentages of CIM orders and agreements adjusted according to the client’s progress or lack thereof. During the 202</w:t>
      </w:r>
      <w:r>
        <w:t>4</w:t>
      </w:r>
      <w:r w:rsidRPr="00224AA8">
        <w:t>-2</w:t>
      </w:r>
      <w:r>
        <w:t>5</w:t>
      </w:r>
      <w:r w:rsidRPr="00224AA8">
        <w:t xml:space="preserve"> reporting period, </w:t>
      </w:r>
      <w:r>
        <w:t>53</w:t>
      </w:r>
      <w:r w:rsidRPr="00224AA8">
        <w:t xml:space="preserve">% of CIM orders and agreements quarantined 60 percent, </w:t>
      </w:r>
      <w:r>
        <w:t>36</w:t>
      </w:r>
      <w:r w:rsidRPr="00224AA8">
        <w:t xml:space="preserve">% of CIM orders and agreements quarantined 75 percent and </w:t>
      </w:r>
      <w:r>
        <w:t>11</w:t>
      </w:r>
      <w:r w:rsidRPr="00224AA8">
        <w:t xml:space="preserve">% of CIM orders and agreements quarantined 90 percent of a client’s welfare payment. During the same period </w:t>
      </w:r>
      <w:r>
        <w:t>30</w:t>
      </w:r>
      <w:r w:rsidRPr="00224AA8">
        <w:t xml:space="preserve">% were for a period of </w:t>
      </w:r>
      <w:r>
        <w:t xml:space="preserve">3 months, 64% for a period of </w:t>
      </w:r>
      <w:r w:rsidRPr="00224AA8">
        <w:t>6 months</w:t>
      </w:r>
      <w:r>
        <w:t xml:space="preserve"> and 3% for a period of both 9 and 12 months</w:t>
      </w:r>
      <w:r w:rsidRPr="00224AA8">
        <w:t>.</w:t>
      </w:r>
    </w:p>
    <w:p w14:paraId="42171C93" w14:textId="77777777" w:rsidR="006B6F53" w:rsidRPr="00224AA8" w:rsidRDefault="006B6F53" w:rsidP="006B6F53">
      <w:r w:rsidRPr="00224AA8">
        <w:t xml:space="preserve">The Commission processed the </w:t>
      </w:r>
      <w:r>
        <w:t>36</w:t>
      </w:r>
      <w:r w:rsidRPr="00224AA8">
        <w:t xml:space="preserve"> CIMs issued in 202</w:t>
      </w:r>
      <w:r>
        <w:t>4</w:t>
      </w:r>
      <w:r w:rsidRPr="00224AA8">
        <w:t>-2</w:t>
      </w:r>
      <w:r>
        <w:t>5</w:t>
      </w:r>
      <w:r w:rsidRPr="00224AA8">
        <w:t xml:space="preserve"> as follows:</w:t>
      </w:r>
    </w:p>
    <w:tbl>
      <w:tblPr>
        <w:tblStyle w:val="TableGrid"/>
        <w:tblW w:w="8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7"/>
        <w:gridCol w:w="236"/>
        <w:gridCol w:w="4167"/>
      </w:tblGrid>
      <w:tr w:rsidR="006B6F53" w:rsidRPr="00224AA8" w14:paraId="541914BE" w14:textId="77777777" w:rsidTr="00594D14">
        <w:trPr>
          <w:trHeight w:val="4009"/>
        </w:trPr>
        <w:tc>
          <w:tcPr>
            <w:tcW w:w="4167" w:type="dxa"/>
          </w:tcPr>
          <w:p w14:paraId="0BB003F4" w14:textId="77777777" w:rsidR="006B6F53" w:rsidRPr="00224AA8" w:rsidRDefault="006B6F53" w:rsidP="00594D14">
            <w:pPr>
              <w:spacing w:after="0" w:line="240" w:lineRule="auto"/>
            </w:pPr>
            <w:r>
              <w:rPr>
                <w:noProof/>
              </w:rPr>
              <w:lastRenderedPageBreak/>
              <w:drawing>
                <wp:inline distT="0" distB="0" distL="0" distR="0" wp14:anchorId="49B5070D" wp14:editId="3B5662E2">
                  <wp:extent cx="2508885" cy="2526665"/>
                  <wp:effectExtent l="0" t="0" r="5715" b="6985"/>
                  <wp:docPr id="1136697851" name="Picture 1" descr="A diagram of a cim du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97851" name="Picture 1" descr="A diagram of a cim duration&#10;&#10;AI-generated content may be incorrect."/>
                          <pic:cNvPicPr/>
                        </pic:nvPicPr>
                        <pic:blipFill>
                          <a:blip r:embed="rId11"/>
                          <a:stretch>
                            <a:fillRect/>
                          </a:stretch>
                        </pic:blipFill>
                        <pic:spPr>
                          <a:xfrm>
                            <a:off x="0" y="0"/>
                            <a:ext cx="2508885" cy="2526665"/>
                          </a:xfrm>
                          <a:prstGeom prst="rect">
                            <a:avLst/>
                          </a:prstGeom>
                        </pic:spPr>
                      </pic:pic>
                    </a:graphicData>
                  </a:graphic>
                </wp:inline>
              </w:drawing>
            </w:r>
          </w:p>
        </w:tc>
        <w:tc>
          <w:tcPr>
            <w:tcW w:w="236" w:type="dxa"/>
          </w:tcPr>
          <w:p w14:paraId="7A94653A" w14:textId="77777777" w:rsidR="006B6F53" w:rsidRPr="00224AA8" w:rsidRDefault="006B6F53" w:rsidP="00594D14">
            <w:pPr>
              <w:rPr>
                <w:noProof/>
              </w:rPr>
            </w:pPr>
          </w:p>
        </w:tc>
        <w:tc>
          <w:tcPr>
            <w:tcW w:w="4167" w:type="dxa"/>
          </w:tcPr>
          <w:p w14:paraId="29FC6E1D" w14:textId="77777777" w:rsidR="006B6F53" w:rsidRPr="00224AA8" w:rsidRDefault="006B6F53" w:rsidP="00594D14">
            <w:pPr>
              <w:spacing w:after="0" w:line="240" w:lineRule="auto"/>
            </w:pPr>
            <w:r>
              <w:rPr>
                <w:noProof/>
              </w:rPr>
              <w:drawing>
                <wp:inline distT="0" distB="0" distL="0" distR="0" wp14:anchorId="623FE827" wp14:editId="7C1C3BC2">
                  <wp:extent cx="2508885" cy="2526665"/>
                  <wp:effectExtent l="0" t="0" r="5715" b="6985"/>
                  <wp:docPr id="477957643" name="Picture 1" descr="A diagram of a number of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57643" name="Picture 1" descr="A diagram of a number of percentages&#10;&#10;AI-generated content may be incorrect."/>
                          <pic:cNvPicPr/>
                        </pic:nvPicPr>
                        <pic:blipFill>
                          <a:blip r:embed="rId12"/>
                          <a:stretch>
                            <a:fillRect/>
                          </a:stretch>
                        </pic:blipFill>
                        <pic:spPr>
                          <a:xfrm>
                            <a:off x="0" y="0"/>
                            <a:ext cx="2508885" cy="2526665"/>
                          </a:xfrm>
                          <a:prstGeom prst="rect">
                            <a:avLst/>
                          </a:prstGeom>
                        </pic:spPr>
                      </pic:pic>
                    </a:graphicData>
                  </a:graphic>
                </wp:inline>
              </w:drawing>
            </w:r>
          </w:p>
        </w:tc>
      </w:tr>
      <w:tr w:rsidR="006B6F53" w:rsidRPr="00224AA8" w14:paraId="5B807A65" w14:textId="77777777" w:rsidTr="00594D14">
        <w:trPr>
          <w:trHeight w:val="567"/>
        </w:trPr>
        <w:tc>
          <w:tcPr>
            <w:tcW w:w="4167" w:type="dxa"/>
            <w:shd w:val="clear" w:color="auto" w:fill="808080" w:themeFill="background1" w:themeFillShade="80"/>
          </w:tcPr>
          <w:p w14:paraId="613D9E6E" w14:textId="77777777" w:rsidR="006B6F53" w:rsidRPr="00224AA8" w:rsidRDefault="006B6F53" w:rsidP="00594D14">
            <w:pPr>
              <w:spacing w:before="60" w:after="60" w:line="240" w:lineRule="auto"/>
              <w:jc w:val="center"/>
              <w:rPr>
                <w:rFonts w:cs="Arial"/>
                <w:color w:val="FFFFFF" w:themeColor="background1"/>
              </w:rPr>
            </w:pPr>
            <w:r w:rsidRPr="00224AA8">
              <w:rPr>
                <w:rFonts w:cs="Arial"/>
                <w:b/>
                <w:bCs/>
                <w:color w:val="FFFFFF" w:themeColor="background1"/>
                <w:sz w:val="17"/>
                <w:szCs w:val="17"/>
                <w:lang w:val="en-US"/>
              </w:rPr>
              <w:t xml:space="preserve">Graph </w:t>
            </w:r>
            <w:r>
              <w:rPr>
                <w:rFonts w:cs="Arial"/>
                <w:b/>
                <w:bCs/>
                <w:color w:val="FFFFFF" w:themeColor="background1"/>
                <w:sz w:val="17"/>
                <w:szCs w:val="17"/>
                <w:lang w:val="en-US"/>
              </w:rPr>
              <w:t>9</w:t>
            </w:r>
            <w:r w:rsidRPr="00224AA8">
              <w:rPr>
                <w:rFonts w:cs="Arial"/>
                <w:b/>
                <w:bCs/>
                <w:color w:val="FFFFFF" w:themeColor="background1"/>
                <w:sz w:val="17"/>
                <w:szCs w:val="17"/>
                <w:lang w:val="en-US"/>
              </w:rPr>
              <w:t>: Breakdown of SmartCard CIMs by duration 1 July 202</w:t>
            </w:r>
            <w:r>
              <w:rPr>
                <w:rFonts w:cs="Arial"/>
                <w:b/>
                <w:bCs/>
                <w:color w:val="FFFFFF" w:themeColor="background1"/>
                <w:sz w:val="17"/>
                <w:szCs w:val="17"/>
                <w:lang w:val="en-US"/>
              </w:rPr>
              <w:t>4</w:t>
            </w:r>
            <w:r w:rsidRPr="00224AA8">
              <w:rPr>
                <w:rFonts w:cs="Arial"/>
                <w:b/>
                <w:bCs/>
                <w:color w:val="FFFFFF" w:themeColor="background1"/>
                <w:sz w:val="17"/>
                <w:szCs w:val="17"/>
                <w:lang w:val="en-US"/>
              </w:rPr>
              <w:t xml:space="preserve"> to 30 June 202</w:t>
            </w:r>
            <w:r>
              <w:rPr>
                <w:rFonts w:cs="Arial"/>
                <w:b/>
                <w:bCs/>
                <w:color w:val="FFFFFF" w:themeColor="background1"/>
                <w:sz w:val="17"/>
                <w:szCs w:val="17"/>
                <w:lang w:val="en-US"/>
              </w:rPr>
              <w:t>5</w:t>
            </w:r>
          </w:p>
        </w:tc>
        <w:tc>
          <w:tcPr>
            <w:tcW w:w="236" w:type="dxa"/>
          </w:tcPr>
          <w:p w14:paraId="13F3C0E6" w14:textId="77777777" w:rsidR="006B6F53" w:rsidRPr="00224AA8" w:rsidRDefault="006B6F53" w:rsidP="00594D14">
            <w:pPr>
              <w:spacing w:before="60" w:after="60" w:line="240" w:lineRule="auto"/>
              <w:rPr>
                <w:rFonts w:ascii="Helvetica" w:hAnsi="Helvetica" w:cs="Helvetica"/>
                <w:b/>
                <w:bCs/>
                <w:color w:val="FFFFFF" w:themeColor="background1"/>
                <w:sz w:val="17"/>
                <w:szCs w:val="17"/>
                <w:lang w:val="en-US"/>
              </w:rPr>
            </w:pPr>
          </w:p>
        </w:tc>
        <w:tc>
          <w:tcPr>
            <w:tcW w:w="4167" w:type="dxa"/>
            <w:shd w:val="clear" w:color="auto" w:fill="808080" w:themeFill="background1" w:themeFillShade="80"/>
          </w:tcPr>
          <w:p w14:paraId="093BF05B" w14:textId="77777777" w:rsidR="006B6F53" w:rsidRPr="00224AA8" w:rsidRDefault="006B6F53" w:rsidP="00594D14">
            <w:pPr>
              <w:spacing w:before="60" w:after="60" w:line="240" w:lineRule="auto"/>
              <w:jc w:val="center"/>
              <w:rPr>
                <w:rFonts w:cs="Arial"/>
                <w:color w:val="FFFFFF" w:themeColor="background1"/>
              </w:rPr>
            </w:pPr>
            <w:r w:rsidRPr="00224AA8">
              <w:rPr>
                <w:rFonts w:cs="Arial"/>
                <w:b/>
                <w:bCs/>
                <w:color w:val="FFFFFF" w:themeColor="background1"/>
                <w:sz w:val="17"/>
                <w:szCs w:val="17"/>
                <w:lang w:val="en-US"/>
              </w:rPr>
              <w:t xml:space="preserve">Graph </w:t>
            </w:r>
            <w:r>
              <w:rPr>
                <w:rFonts w:cs="Arial"/>
                <w:b/>
                <w:bCs/>
                <w:color w:val="FFFFFF" w:themeColor="background1"/>
                <w:sz w:val="17"/>
                <w:szCs w:val="17"/>
                <w:lang w:val="en-US"/>
              </w:rPr>
              <w:t>10</w:t>
            </w:r>
            <w:r w:rsidRPr="00224AA8">
              <w:rPr>
                <w:rFonts w:cs="Arial"/>
                <w:b/>
                <w:bCs/>
                <w:color w:val="FFFFFF" w:themeColor="background1"/>
                <w:sz w:val="17"/>
                <w:szCs w:val="17"/>
                <w:lang w:val="en-US"/>
              </w:rPr>
              <w:t>: Breakdown of SmartCard CIMs by percentage 1 July 202</w:t>
            </w:r>
            <w:r>
              <w:rPr>
                <w:rFonts w:cs="Arial"/>
                <w:b/>
                <w:bCs/>
                <w:color w:val="FFFFFF" w:themeColor="background1"/>
                <w:sz w:val="17"/>
                <w:szCs w:val="17"/>
                <w:lang w:val="en-US"/>
              </w:rPr>
              <w:t>4</w:t>
            </w:r>
            <w:r w:rsidRPr="00224AA8">
              <w:rPr>
                <w:rFonts w:cs="Arial"/>
                <w:b/>
                <w:bCs/>
                <w:color w:val="FFFFFF" w:themeColor="background1"/>
                <w:sz w:val="17"/>
                <w:szCs w:val="17"/>
                <w:lang w:val="en-US"/>
              </w:rPr>
              <w:t xml:space="preserve"> to 30 June 202</w:t>
            </w:r>
            <w:r>
              <w:rPr>
                <w:rFonts w:cs="Arial"/>
                <w:b/>
                <w:bCs/>
                <w:color w:val="FFFFFF" w:themeColor="background1"/>
                <w:sz w:val="17"/>
                <w:szCs w:val="17"/>
                <w:lang w:val="en-US"/>
              </w:rPr>
              <w:t>5</w:t>
            </w:r>
          </w:p>
        </w:tc>
      </w:tr>
    </w:tbl>
    <w:p w14:paraId="6AE45C64" w14:textId="77777777" w:rsidR="006B6F53" w:rsidRDefault="006B6F53" w:rsidP="006B6F53"/>
    <w:p w14:paraId="55B95127" w14:textId="77777777" w:rsidR="006B6F53" w:rsidRPr="00224AA8" w:rsidRDefault="006B6F53" w:rsidP="006B6F53">
      <w:pPr>
        <w:pStyle w:val="Heading5"/>
      </w:pPr>
      <w:r w:rsidRPr="00224AA8">
        <w:t>Clients on voluntary income management</w:t>
      </w:r>
    </w:p>
    <w:p w14:paraId="5406196F" w14:textId="77777777" w:rsidR="00EE70DE" w:rsidRPr="00224AA8" w:rsidRDefault="00EE70DE" w:rsidP="00EE70DE">
      <w:r w:rsidRPr="00224AA8">
        <w:t xml:space="preserve">The Commission processed </w:t>
      </w:r>
      <w:r>
        <w:t>97</w:t>
      </w:r>
      <w:r w:rsidRPr="00224AA8">
        <w:t xml:space="preserve"> VIM agreements (a decrease of </w:t>
      </w:r>
      <w:r>
        <w:t>16</w:t>
      </w:r>
      <w:r w:rsidRPr="00224AA8">
        <w:t>% from the 11</w:t>
      </w:r>
      <w:r>
        <w:t>5</w:t>
      </w:r>
      <w:r w:rsidRPr="00224AA8">
        <w:t xml:space="preserve"> VIMs in 202</w:t>
      </w:r>
      <w:r>
        <w:t>3</w:t>
      </w:r>
      <w:r w:rsidRPr="00224AA8">
        <w:t>-2</w:t>
      </w:r>
      <w:r>
        <w:t>4</w:t>
      </w:r>
      <w:r w:rsidRPr="00224AA8">
        <w:t xml:space="preserve">) for </w:t>
      </w:r>
      <w:r>
        <w:t>89</w:t>
      </w:r>
      <w:r w:rsidRPr="00224AA8">
        <w:t xml:space="preserve"> clients.</w:t>
      </w:r>
    </w:p>
    <w:p w14:paraId="2F7EA30A" w14:textId="77777777" w:rsidR="00EE70DE" w:rsidRPr="00224AA8" w:rsidRDefault="00EE70DE" w:rsidP="00EE70DE">
      <w:r w:rsidRPr="00224AA8">
        <w:t xml:space="preserve">Since the commencement of the Commission, </w:t>
      </w:r>
      <w:r>
        <w:t>432</w:t>
      </w:r>
      <w:r w:rsidRPr="00224AA8">
        <w:t xml:space="preserve"> clients (2</w:t>
      </w:r>
      <w:r>
        <w:t>74</w:t>
      </w:r>
      <w:r w:rsidRPr="00224AA8">
        <w:t xml:space="preserve"> female and 1</w:t>
      </w:r>
      <w:r>
        <w:t>58</w:t>
      </w:r>
      <w:r w:rsidRPr="00224AA8">
        <w:t xml:space="preserve"> male) have had an active VIM agreement. As at 30 June 202</w:t>
      </w:r>
      <w:r>
        <w:t>5</w:t>
      </w:r>
      <w:r w:rsidRPr="00224AA8">
        <w:t>, there were 6</w:t>
      </w:r>
      <w:r>
        <w:t>7</w:t>
      </w:r>
      <w:r w:rsidRPr="00224AA8">
        <w:t xml:space="preserve"> clients on a VIM, with </w:t>
      </w:r>
      <w:r>
        <w:t>81</w:t>
      </w:r>
      <w:r w:rsidRPr="00224AA8">
        <w:t xml:space="preserve">% at 60 percent and </w:t>
      </w:r>
      <w:r>
        <w:t>40</w:t>
      </w:r>
      <w:r w:rsidRPr="00224AA8">
        <w:t xml:space="preserve">% for a 6 month duration </w:t>
      </w:r>
      <w:r>
        <w:t xml:space="preserve">and 40% for </w:t>
      </w:r>
      <w:r w:rsidRPr="00224AA8">
        <w:t>a 12</w:t>
      </w:r>
      <w:r>
        <w:t xml:space="preserve"> </w:t>
      </w:r>
      <w:r w:rsidRPr="00224AA8">
        <w:t>month duration</w:t>
      </w:r>
      <w:r>
        <w:t>.</w:t>
      </w:r>
    </w:p>
    <w:p w14:paraId="7D581335" w14:textId="77777777" w:rsidR="00EE70DE" w:rsidRDefault="00EE70DE" w:rsidP="00EE70DE">
      <w:r w:rsidRPr="00224AA8">
        <w:t>During the 202</w:t>
      </w:r>
      <w:r>
        <w:t>4</w:t>
      </w:r>
      <w:r w:rsidRPr="00224AA8">
        <w:t>-2</w:t>
      </w:r>
      <w:r>
        <w:t>5</w:t>
      </w:r>
      <w:r w:rsidRPr="00224AA8">
        <w:t xml:space="preserve"> reporting period, 8</w:t>
      </w:r>
      <w:r>
        <w:t>1</w:t>
      </w:r>
      <w:r w:rsidRPr="00224AA8">
        <w:t>% of VIMs quarantined 60 percent of a client’s welfare payment. During the same period, 2</w:t>
      </w:r>
      <w:r>
        <w:t>8</w:t>
      </w:r>
      <w:r w:rsidRPr="00224AA8">
        <w:t xml:space="preserve">% were for a period of 3 months, </w:t>
      </w:r>
      <w:r>
        <w:t>42</w:t>
      </w:r>
      <w:r w:rsidRPr="00224AA8">
        <w:t xml:space="preserve">% were for a period of 6 months, </w:t>
      </w:r>
      <w:r>
        <w:t>1</w:t>
      </w:r>
      <w:r w:rsidRPr="00224AA8">
        <w:t>% w</w:t>
      </w:r>
      <w:r>
        <w:t>as</w:t>
      </w:r>
      <w:r w:rsidRPr="00224AA8">
        <w:t xml:space="preserve"> for a period of 9 months and </w:t>
      </w:r>
      <w:r>
        <w:t>29</w:t>
      </w:r>
      <w:r w:rsidRPr="00224AA8">
        <w:t>% were for a period of 12 months.</w:t>
      </w:r>
    </w:p>
    <w:tbl>
      <w:tblPr>
        <w:tblStyle w:val="TableGrid"/>
        <w:tblW w:w="8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7"/>
        <w:gridCol w:w="236"/>
        <w:gridCol w:w="4167"/>
      </w:tblGrid>
      <w:tr w:rsidR="006B6F53" w:rsidRPr="00224AA8" w14:paraId="2561B8B6" w14:textId="77777777" w:rsidTr="00594D14">
        <w:trPr>
          <w:trHeight w:val="3969"/>
        </w:trPr>
        <w:tc>
          <w:tcPr>
            <w:tcW w:w="4167" w:type="dxa"/>
          </w:tcPr>
          <w:p w14:paraId="3A0732CE" w14:textId="77777777" w:rsidR="006B6F53" w:rsidRPr="00224AA8" w:rsidRDefault="006B6F53" w:rsidP="00594D14">
            <w:r>
              <w:rPr>
                <w:noProof/>
              </w:rPr>
              <w:drawing>
                <wp:anchor distT="0" distB="0" distL="114300" distR="114300" simplePos="0" relativeHeight="251672576" behindDoc="1" locked="0" layoutInCell="1" allowOverlap="1" wp14:anchorId="23CF9859" wp14:editId="622D8280">
                  <wp:simplePos x="0" y="0"/>
                  <wp:positionH relativeFrom="column">
                    <wp:posOffset>3810</wp:posOffset>
                  </wp:positionH>
                  <wp:positionV relativeFrom="paragraph">
                    <wp:posOffset>3810</wp:posOffset>
                  </wp:positionV>
                  <wp:extent cx="2508885" cy="2526665"/>
                  <wp:effectExtent l="0" t="0" r="5715" b="6985"/>
                  <wp:wrapNone/>
                  <wp:docPr id="2077818479" name="Picture 1" descr="A diagram of a circ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18479" name="Picture 1" descr="A diagram of a circle with numbers and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508885" cy="2526665"/>
                          </a:xfrm>
                          <a:prstGeom prst="rect">
                            <a:avLst/>
                          </a:prstGeom>
                        </pic:spPr>
                      </pic:pic>
                    </a:graphicData>
                  </a:graphic>
                </wp:anchor>
              </w:drawing>
            </w:r>
          </w:p>
        </w:tc>
        <w:tc>
          <w:tcPr>
            <w:tcW w:w="236" w:type="dxa"/>
          </w:tcPr>
          <w:p w14:paraId="4134E778" w14:textId="77777777" w:rsidR="006B6F53" w:rsidRPr="00224AA8" w:rsidRDefault="006B6F53" w:rsidP="00594D14">
            <w:pPr>
              <w:rPr>
                <w:noProof/>
              </w:rPr>
            </w:pPr>
          </w:p>
        </w:tc>
        <w:tc>
          <w:tcPr>
            <w:tcW w:w="4167" w:type="dxa"/>
          </w:tcPr>
          <w:p w14:paraId="25A0D03F" w14:textId="77777777" w:rsidR="006B6F53" w:rsidRPr="00224AA8" w:rsidRDefault="006B6F53" w:rsidP="00594D14">
            <w:r>
              <w:rPr>
                <w:noProof/>
              </w:rPr>
              <w:drawing>
                <wp:anchor distT="0" distB="0" distL="114300" distR="114300" simplePos="0" relativeHeight="251671552" behindDoc="1" locked="0" layoutInCell="1" allowOverlap="1" wp14:anchorId="1A38F35B" wp14:editId="06F4609D">
                  <wp:simplePos x="0" y="0"/>
                  <wp:positionH relativeFrom="column">
                    <wp:posOffset>-1270</wp:posOffset>
                  </wp:positionH>
                  <wp:positionV relativeFrom="paragraph">
                    <wp:posOffset>3810</wp:posOffset>
                  </wp:positionV>
                  <wp:extent cx="2508885" cy="2526665"/>
                  <wp:effectExtent l="0" t="0" r="5715" b="6985"/>
                  <wp:wrapNone/>
                  <wp:docPr id="237862910" name="Picture 1" descr="A diagram of a percen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62910" name="Picture 1" descr="A diagram of a percentag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508885" cy="2526665"/>
                          </a:xfrm>
                          <a:prstGeom prst="rect">
                            <a:avLst/>
                          </a:prstGeom>
                        </pic:spPr>
                      </pic:pic>
                    </a:graphicData>
                  </a:graphic>
                </wp:anchor>
              </w:drawing>
            </w:r>
          </w:p>
        </w:tc>
      </w:tr>
      <w:tr w:rsidR="006B6F53" w:rsidRPr="00224AA8" w14:paraId="673AC506" w14:textId="77777777" w:rsidTr="00594D14">
        <w:trPr>
          <w:trHeight w:val="567"/>
        </w:trPr>
        <w:tc>
          <w:tcPr>
            <w:tcW w:w="4167" w:type="dxa"/>
            <w:shd w:val="clear" w:color="auto" w:fill="808080" w:themeFill="background1" w:themeFillShade="80"/>
          </w:tcPr>
          <w:p w14:paraId="30F7DDF5" w14:textId="77777777" w:rsidR="006B6F53" w:rsidRPr="00224AA8" w:rsidRDefault="006B6F53" w:rsidP="00594D14">
            <w:pPr>
              <w:spacing w:before="60" w:after="60" w:line="240" w:lineRule="auto"/>
              <w:jc w:val="center"/>
              <w:rPr>
                <w:rFonts w:cs="Arial"/>
                <w:color w:val="FFFFFF" w:themeColor="background1"/>
              </w:rPr>
            </w:pPr>
            <w:r w:rsidRPr="00224AA8">
              <w:rPr>
                <w:rFonts w:cs="Arial"/>
                <w:b/>
                <w:bCs/>
                <w:color w:val="FFFFFF" w:themeColor="background1"/>
                <w:sz w:val="17"/>
                <w:szCs w:val="17"/>
                <w:lang w:val="en-US"/>
              </w:rPr>
              <w:t>Graph 1</w:t>
            </w:r>
            <w:r>
              <w:rPr>
                <w:rFonts w:cs="Arial"/>
                <w:b/>
                <w:bCs/>
                <w:color w:val="FFFFFF" w:themeColor="background1"/>
                <w:sz w:val="17"/>
                <w:szCs w:val="17"/>
                <w:lang w:val="en-US"/>
              </w:rPr>
              <w:t>1</w:t>
            </w:r>
            <w:r w:rsidRPr="00224AA8">
              <w:rPr>
                <w:rFonts w:cs="Arial"/>
                <w:b/>
                <w:bCs/>
                <w:color w:val="FFFFFF" w:themeColor="background1"/>
                <w:sz w:val="17"/>
                <w:szCs w:val="17"/>
                <w:lang w:val="en-US"/>
              </w:rPr>
              <w:t>: Breakdown of SmartCard VIMs by duration 1 July 202</w:t>
            </w:r>
            <w:r>
              <w:rPr>
                <w:rFonts w:cs="Arial"/>
                <w:b/>
                <w:bCs/>
                <w:color w:val="FFFFFF" w:themeColor="background1"/>
                <w:sz w:val="17"/>
                <w:szCs w:val="17"/>
                <w:lang w:val="en-US"/>
              </w:rPr>
              <w:t>4</w:t>
            </w:r>
            <w:r w:rsidRPr="00224AA8">
              <w:rPr>
                <w:rFonts w:cs="Arial"/>
                <w:b/>
                <w:bCs/>
                <w:color w:val="FFFFFF" w:themeColor="background1"/>
                <w:sz w:val="17"/>
                <w:szCs w:val="17"/>
                <w:lang w:val="en-US"/>
              </w:rPr>
              <w:t xml:space="preserve"> to 30 June 202</w:t>
            </w:r>
            <w:r>
              <w:rPr>
                <w:rFonts w:cs="Arial"/>
                <w:b/>
                <w:bCs/>
                <w:color w:val="FFFFFF" w:themeColor="background1"/>
                <w:sz w:val="17"/>
                <w:szCs w:val="17"/>
                <w:lang w:val="en-US"/>
              </w:rPr>
              <w:t>5</w:t>
            </w:r>
          </w:p>
        </w:tc>
        <w:tc>
          <w:tcPr>
            <w:tcW w:w="236" w:type="dxa"/>
          </w:tcPr>
          <w:p w14:paraId="300AD08E" w14:textId="77777777" w:rsidR="006B6F53" w:rsidRPr="00224AA8" w:rsidRDefault="006B6F53" w:rsidP="00594D14">
            <w:pPr>
              <w:spacing w:before="60" w:after="60" w:line="240" w:lineRule="auto"/>
              <w:rPr>
                <w:rFonts w:ascii="Helvetica" w:hAnsi="Helvetica" w:cs="Helvetica"/>
                <w:b/>
                <w:bCs/>
                <w:color w:val="FFFFFF" w:themeColor="background1"/>
                <w:sz w:val="17"/>
                <w:szCs w:val="17"/>
                <w:lang w:val="en-US"/>
              </w:rPr>
            </w:pPr>
          </w:p>
        </w:tc>
        <w:tc>
          <w:tcPr>
            <w:tcW w:w="4167" w:type="dxa"/>
            <w:shd w:val="clear" w:color="auto" w:fill="808080" w:themeFill="background1" w:themeFillShade="80"/>
          </w:tcPr>
          <w:p w14:paraId="29EF952E" w14:textId="77777777" w:rsidR="006B6F53" w:rsidRPr="00224AA8" w:rsidRDefault="006B6F53" w:rsidP="00594D14">
            <w:pPr>
              <w:spacing w:before="60" w:after="60" w:line="240" w:lineRule="auto"/>
              <w:jc w:val="center"/>
              <w:rPr>
                <w:rFonts w:cs="Arial"/>
                <w:color w:val="FFFFFF" w:themeColor="background1"/>
              </w:rPr>
            </w:pPr>
            <w:r w:rsidRPr="00224AA8">
              <w:rPr>
                <w:rFonts w:cs="Arial"/>
                <w:b/>
                <w:bCs/>
                <w:color w:val="FFFFFF" w:themeColor="background1"/>
                <w:sz w:val="17"/>
                <w:szCs w:val="17"/>
                <w:lang w:val="en-US"/>
              </w:rPr>
              <w:t>Graph 1</w:t>
            </w:r>
            <w:r>
              <w:rPr>
                <w:rFonts w:cs="Arial"/>
                <w:b/>
                <w:bCs/>
                <w:color w:val="FFFFFF" w:themeColor="background1"/>
                <w:sz w:val="17"/>
                <w:szCs w:val="17"/>
                <w:lang w:val="en-US"/>
              </w:rPr>
              <w:t>2</w:t>
            </w:r>
            <w:r w:rsidRPr="00224AA8">
              <w:rPr>
                <w:rFonts w:cs="Arial"/>
                <w:b/>
                <w:bCs/>
                <w:color w:val="FFFFFF" w:themeColor="background1"/>
                <w:sz w:val="17"/>
                <w:szCs w:val="17"/>
                <w:lang w:val="en-US"/>
              </w:rPr>
              <w:t>: Breakdown of SmartCard VIMs by percentage 1 July 202</w:t>
            </w:r>
            <w:r>
              <w:rPr>
                <w:rFonts w:cs="Arial"/>
                <w:b/>
                <w:bCs/>
                <w:color w:val="FFFFFF" w:themeColor="background1"/>
                <w:sz w:val="17"/>
                <w:szCs w:val="17"/>
                <w:lang w:val="en-US"/>
              </w:rPr>
              <w:t>4</w:t>
            </w:r>
            <w:r w:rsidRPr="00224AA8">
              <w:rPr>
                <w:rFonts w:cs="Arial"/>
                <w:b/>
                <w:bCs/>
                <w:color w:val="FFFFFF" w:themeColor="background1"/>
                <w:sz w:val="17"/>
                <w:szCs w:val="17"/>
                <w:lang w:val="en-US"/>
              </w:rPr>
              <w:t xml:space="preserve"> to 30 June 202</w:t>
            </w:r>
            <w:r>
              <w:rPr>
                <w:rFonts w:cs="Arial"/>
                <w:b/>
                <w:bCs/>
                <w:color w:val="FFFFFF" w:themeColor="background1"/>
                <w:sz w:val="17"/>
                <w:szCs w:val="17"/>
                <w:lang w:val="en-US"/>
              </w:rPr>
              <w:t>5</w:t>
            </w:r>
          </w:p>
        </w:tc>
      </w:tr>
    </w:tbl>
    <w:p w14:paraId="54A563AD" w14:textId="77777777" w:rsidR="006B6F53" w:rsidRPr="00224AA8" w:rsidRDefault="006B6F53" w:rsidP="006B6F53">
      <w:pPr>
        <w:pStyle w:val="Heading5"/>
      </w:pPr>
      <w:r w:rsidRPr="00224AA8">
        <w:t>Conditional and voluntary income management age and gender breakdown</w:t>
      </w:r>
    </w:p>
    <w:p w14:paraId="65A62074" w14:textId="77777777" w:rsidR="00EE70DE" w:rsidRPr="00224AA8" w:rsidRDefault="00EE70DE" w:rsidP="00EE70DE">
      <w:r w:rsidRPr="00224AA8">
        <w:t>During 202</w:t>
      </w:r>
      <w:r>
        <w:t>4</w:t>
      </w:r>
      <w:r w:rsidRPr="00224AA8">
        <w:t>-2</w:t>
      </w:r>
      <w:r>
        <w:t>5</w:t>
      </w:r>
      <w:r w:rsidRPr="00224AA8">
        <w:t xml:space="preserve"> most community members conditionally income managed by the FRC were in the 26-35 year age group, and females accounted for </w:t>
      </w:r>
      <w:r>
        <w:t>78</w:t>
      </w:r>
      <w:r w:rsidRPr="00224AA8">
        <w:t xml:space="preserve">% of all the CIM orders and </w:t>
      </w:r>
      <w:r w:rsidRPr="00224AA8">
        <w:lastRenderedPageBreak/>
        <w:t xml:space="preserve">agreements. For the </w:t>
      </w:r>
      <w:r>
        <w:t>28</w:t>
      </w:r>
      <w:r w:rsidRPr="00224AA8">
        <w:t xml:space="preserve"> CIMs relating to females, </w:t>
      </w:r>
      <w:r>
        <w:t>79</w:t>
      </w:r>
      <w:r w:rsidRPr="00224AA8">
        <w:t xml:space="preserve">% related to children in some </w:t>
      </w:r>
      <w:r>
        <w:t>capacity</w:t>
      </w:r>
      <w:r w:rsidRPr="00224AA8">
        <w:t xml:space="preserve">, whether it was for a notice regarding school attendance or school non-enrolment, or for a notice regarding child safety and welfare. For the </w:t>
      </w:r>
      <w:r>
        <w:t>8</w:t>
      </w:r>
      <w:r w:rsidRPr="00224AA8">
        <w:t xml:space="preserve"> CIMs relating to males, </w:t>
      </w:r>
      <w:r>
        <w:t>2</w:t>
      </w:r>
      <w:r w:rsidRPr="00224AA8">
        <w:t xml:space="preserve">5% related to children in some </w:t>
      </w:r>
      <w:r>
        <w:t>capacity</w:t>
      </w:r>
      <w:r w:rsidRPr="00224AA8">
        <w:t>. These figures correlate to the often-female role of caregiver in the family structure.</w:t>
      </w:r>
    </w:p>
    <w:p w14:paraId="3137FC5A" w14:textId="77777777" w:rsidR="00EE70DE" w:rsidRPr="00224AA8" w:rsidRDefault="00EE70DE" w:rsidP="00EE70DE">
      <w:r w:rsidRPr="00224AA8">
        <w:t>The age ranges of clients exercising the option for VIM spanned all age cohorts from 18 to 8</w:t>
      </w:r>
      <w:r>
        <w:t>6+</w:t>
      </w:r>
      <w:r w:rsidRPr="00224AA8">
        <w:t xml:space="preserve">. Again, females represented </w:t>
      </w:r>
      <w:proofErr w:type="gramStart"/>
      <w:r w:rsidRPr="00224AA8">
        <w:t>the majority of</w:t>
      </w:r>
      <w:proofErr w:type="gramEnd"/>
      <w:r w:rsidRPr="00224AA8">
        <w:t xml:space="preserve"> all VIM agreements at 6</w:t>
      </w:r>
      <w:r>
        <w:t>1</w:t>
      </w:r>
      <w:r w:rsidRPr="00224AA8">
        <w:t>%.</w:t>
      </w:r>
    </w:p>
    <w:p w14:paraId="5D0CBB2F" w14:textId="77777777" w:rsidR="006B6F53" w:rsidRPr="00224AA8" w:rsidRDefault="006B6F53" w:rsidP="006B6F53"/>
    <w:tbl>
      <w:tblPr>
        <w:tblStyle w:val="TableGrid"/>
        <w:tblW w:w="85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444"/>
        <w:gridCol w:w="6916"/>
      </w:tblGrid>
      <w:tr w:rsidR="006B6F53" w:rsidRPr="00224AA8" w14:paraId="0C93E832" w14:textId="77777777" w:rsidTr="00594D14">
        <w:trPr>
          <w:trHeight w:val="3145"/>
          <w:jc w:val="center"/>
        </w:trPr>
        <w:tc>
          <w:tcPr>
            <w:tcW w:w="1146" w:type="dxa"/>
            <w:shd w:val="clear" w:color="auto" w:fill="808080" w:themeFill="background1" w:themeFillShade="80"/>
            <w:textDirection w:val="btLr"/>
          </w:tcPr>
          <w:p w14:paraId="4C75F1A9" w14:textId="77777777" w:rsidR="006B6F53" w:rsidRPr="00224AA8" w:rsidRDefault="006B6F53" w:rsidP="00594D14">
            <w:pPr>
              <w:spacing w:after="0"/>
              <w:jc w:val="center"/>
              <w:rPr>
                <w:rFonts w:cs="Arial"/>
                <w:b/>
                <w:bCs/>
                <w:color w:val="FFFFFF" w:themeColor="background1"/>
                <w:sz w:val="17"/>
                <w:szCs w:val="17"/>
                <w:lang w:val="en-US"/>
              </w:rPr>
            </w:pPr>
            <w:r w:rsidRPr="00224AA8">
              <w:rPr>
                <w:rFonts w:cs="Arial"/>
                <w:b/>
                <w:bCs/>
                <w:color w:val="FFFFFF" w:themeColor="background1"/>
                <w:sz w:val="17"/>
                <w:szCs w:val="17"/>
                <w:lang w:val="en-US"/>
              </w:rPr>
              <w:t>Graph 1</w:t>
            </w:r>
            <w:r>
              <w:rPr>
                <w:rFonts w:cs="Arial"/>
                <w:b/>
                <w:bCs/>
                <w:color w:val="FFFFFF" w:themeColor="background1"/>
                <w:sz w:val="17"/>
                <w:szCs w:val="17"/>
                <w:lang w:val="en-US"/>
              </w:rPr>
              <w:t>3</w:t>
            </w:r>
            <w:r w:rsidRPr="00224AA8">
              <w:rPr>
                <w:rFonts w:cs="Arial"/>
                <w:b/>
                <w:bCs/>
                <w:color w:val="FFFFFF" w:themeColor="background1"/>
                <w:sz w:val="17"/>
                <w:szCs w:val="17"/>
                <w:lang w:val="en-US"/>
              </w:rPr>
              <w:t xml:space="preserve">: Breakdown of </w:t>
            </w:r>
            <w:r w:rsidRPr="00224AA8">
              <w:rPr>
                <w:rFonts w:cs="Arial"/>
                <w:b/>
                <w:bCs/>
                <w:color w:val="FFFFFF" w:themeColor="background1"/>
                <w:sz w:val="17"/>
                <w:szCs w:val="17"/>
                <w:lang w:val="en-US"/>
              </w:rPr>
              <w:br/>
              <w:t>SmartCard CIMs</w:t>
            </w:r>
            <w:r w:rsidRPr="00224AA8">
              <w:rPr>
                <w:rFonts w:cs="Arial"/>
                <w:b/>
                <w:bCs/>
                <w:color w:val="FFFFFF" w:themeColor="background1"/>
                <w:sz w:val="17"/>
                <w:szCs w:val="17"/>
                <w:lang w:val="en-US"/>
              </w:rPr>
              <w:br/>
              <w:t xml:space="preserve"> by age cohort and gender</w:t>
            </w:r>
            <w:r w:rsidRPr="00224AA8">
              <w:rPr>
                <w:rFonts w:cs="Arial"/>
                <w:b/>
                <w:bCs/>
                <w:color w:val="FFFFFF" w:themeColor="background1"/>
                <w:sz w:val="17"/>
                <w:szCs w:val="17"/>
                <w:lang w:val="en-US"/>
              </w:rPr>
              <w:br/>
              <w:t>1 July 202</w:t>
            </w:r>
            <w:r>
              <w:rPr>
                <w:rFonts w:cs="Arial"/>
                <w:b/>
                <w:bCs/>
                <w:color w:val="FFFFFF" w:themeColor="background1"/>
                <w:sz w:val="17"/>
                <w:szCs w:val="17"/>
                <w:lang w:val="en-US"/>
              </w:rPr>
              <w:t>4</w:t>
            </w:r>
            <w:r w:rsidRPr="00224AA8">
              <w:rPr>
                <w:rFonts w:cs="Arial"/>
                <w:b/>
                <w:bCs/>
                <w:color w:val="FFFFFF" w:themeColor="background1"/>
                <w:sz w:val="17"/>
                <w:szCs w:val="17"/>
                <w:lang w:val="en-US"/>
              </w:rPr>
              <w:t xml:space="preserve"> to 30 June 202</w:t>
            </w:r>
            <w:r>
              <w:rPr>
                <w:rFonts w:cs="Arial"/>
                <w:b/>
                <w:bCs/>
                <w:color w:val="FFFFFF" w:themeColor="background1"/>
                <w:sz w:val="17"/>
                <w:szCs w:val="17"/>
                <w:lang w:val="en-US"/>
              </w:rPr>
              <w:t>5</w:t>
            </w:r>
          </w:p>
        </w:tc>
        <w:tc>
          <w:tcPr>
            <w:tcW w:w="7360" w:type="dxa"/>
            <w:gridSpan w:val="2"/>
          </w:tcPr>
          <w:p w14:paraId="63C4B656" w14:textId="77777777" w:rsidR="006B6F53" w:rsidRPr="00224AA8" w:rsidRDefault="006B6F53" w:rsidP="00594D14">
            <w:r>
              <w:rPr>
                <w:noProof/>
              </w:rPr>
              <w:drawing>
                <wp:anchor distT="0" distB="0" distL="114300" distR="114300" simplePos="0" relativeHeight="251676672" behindDoc="0" locked="0" layoutInCell="1" allowOverlap="1" wp14:anchorId="4ED03D32" wp14:editId="682B2107">
                  <wp:simplePos x="0" y="0"/>
                  <wp:positionH relativeFrom="column">
                    <wp:posOffset>635</wp:posOffset>
                  </wp:positionH>
                  <wp:positionV relativeFrom="paragraph">
                    <wp:posOffset>0</wp:posOffset>
                  </wp:positionV>
                  <wp:extent cx="3457143" cy="1980952"/>
                  <wp:effectExtent l="0" t="0" r="0" b="635"/>
                  <wp:wrapSquare wrapText="bothSides"/>
                  <wp:docPr id="1255952470" name="Picture 1" descr="A graph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52470" name="Picture 1" descr="A graph with numbers and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457143" cy="1980952"/>
                          </a:xfrm>
                          <a:prstGeom prst="rect">
                            <a:avLst/>
                          </a:prstGeom>
                        </pic:spPr>
                      </pic:pic>
                    </a:graphicData>
                  </a:graphic>
                </wp:anchor>
              </w:drawing>
            </w:r>
          </w:p>
        </w:tc>
      </w:tr>
      <w:tr w:rsidR="006B6F53" w:rsidRPr="00224AA8" w14:paraId="4F42D76A" w14:textId="77777777" w:rsidTr="00594D14">
        <w:trPr>
          <w:trHeight w:val="284"/>
          <w:jc w:val="center"/>
        </w:trPr>
        <w:tc>
          <w:tcPr>
            <w:tcW w:w="1146" w:type="dxa"/>
            <w:textDirection w:val="btLr"/>
          </w:tcPr>
          <w:p w14:paraId="213F8FAC" w14:textId="77777777" w:rsidR="006B6F53" w:rsidRPr="00224AA8" w:rsidRDefault="006B6F53" w:rsidP="00594D14">
            <w:pPr>
              <w:spacing w:after="0"/>
              <w:jc w:val="center"/>
              <w:rPr>
                <w:rFonts w:cs="Arial"/>
                <w:b/>
                <w:bCs/>
                <w:color w:val="FFFFFF" w:themeColor="background1"/>
                <w:sz w:val="17"/>
                <w:szCs w:val="17"/>
                <w:lang w:val="en-US"/>
              </w:rPr>
            </w:pPr>
          </w:p>
        </w:tc>
        <w:tc>
          <w:tcPr>
            <w:tcW w:w="444" w:type="dxa"/>
          </w:tcPr>
          <w:p w14:paraId="1E77743B" w14:textId="77777777" w:rsidR="006B6F53" w:rsidRPr="00224AA8" w:rsidRDefault="006B6F53" w:rsidP="00594D14">
            <w:pPr>
              <w:rPr>
                <w:noProof/>
              </w:rPr>
            </w:pPr>
          </w:p>
        </w:tc>
        <w:tc>
          <w:tcPr>
            <w:tcW w:w="6916" w:type="dxa"/>
          </w:tcPr>
          <w:p w14:paraId="67B2BE7E" w14:textId="77777777" w:rsidR="006B6F53" w:rsidRPr="00224AA8" w:rsidRDefault="006B6F53" w:rsidP="00594D14">
            <w:pPr>
              <w:rPr>
                <w:noProof/>
              </w:rPr>
            </w:pPr>
          </w:p>
        </w:tc>
      </w:tr>
      <w:tr w:rsidR="006B6F53" w:rsidRPr="00224AA8" w14:paraId="39E3D6AC" w14:textId="77777777" w:rsidTr="00594D14">
        <w:trPr>
          <w:trHeight w:val="3155"/>
          <w:jc w:val="center"/>
        </w:trPr>
        <w:tc>
          <w:tcPr>
            <w:tcW w:w="1146" w:type="dxa"/>
            <w:shd w:val="clear" w:color="auto" w:fill="808080" w:themeFill="background1" w:themeFillShade="80"/>
            <w:textDirection w:val="btLr"/>
          </w:tcPr>
          <w:p w14:paraId="524EF013" w14:textId="77777777" w:rsidR="006B6F53" w:rsidRPr="00466AA7" w:rsidRDefault="006B6F53" w:rsidP="00594D14">
            <w:pPr>
              <w:spacing w:after="0"/>
              <w:jc w:val="center"/>
              <w:rPr>
                <w:color w:val="FFFFFF" w:themeColor="background1"/>
              </w:rPr>
            </w:pPr>
            <w:r w:rsidRPr="00466AA7">
              <w:rPr>
                <w:rFonts w:cs="Arial"/>
                <w:b/>
                <w:bCs/>
                <w:color w:val="FFFFFF" w:themeColor="background1"/>
                <w:sz w:val="17"/>
                <w:szCs w:val="17"/>
                <w:lang w:val="en-US"/>
              </w:rPr>
              <w:t>Graph 1</w:t>
            </w:r>
            <w:r>
              <w:rPr>
                <w:rFonts w:cs="Arial"/>
                <w:b/>
                <w:bCs/>
                <w:color w:val="FFFFFF" w:themeColor="background1"/>
                <w:sz w:val="17"/>
                <w:szCs w:val="17"/>
                <w:lang w:val="en-US"/>
              </w:rPr>
              <w:t>4</w:t>
            </w:r>
            <w:r w:rsidRPr="00466AA7">
              <w:rPr>
                <w:rFonts w:cs="Arial"/>
                <w:b/>
                <w:bCs/>
                <w:color w:val="FFFFFF" w:themeColor="background1"/>
                <w:sz w:val="17"/>
                <w:szCs w:val="17"/>
                <w:lang w:val="en-US"/>
              </w:rPr>
              <w:t xml:space="preserve">: Breakdown of </w:t>
            </w:r>
            <w:r w:rsidRPr="00466AA7">
              <w:rPr>
                <w:rFonts w:cs="Arial"/>
                <w:b/>
                <w:bCs/>
                <w:color w:val="FFFFFF" w:themeColor="background1"/>
                <w:sz w:val="17"/>
                <w:szCs w:val="17"/>
                <w:lang w:val="en-US"/>
              </w:rPr>
              <w:br/>
              <w:t xml:space="preserve">SmartCard VIMs </w:t>
            </w:r>
            <w:r w:rsidRPr="00466AA7">
              <w:rPr>
                <w:rFonts w:cs="Arial"/>
                <w:b/>
                <w:bCs/>
                <w:color w:val="FFFFFF" w:themeColor="background1"/>
                <w:sz w:val="17"/>
                <w:szCs w:val="17"/>
                <w:lang w:val="en-US"/>
              </w:rPr>
              <w:br/>
              <w:t>by age cohort and gender</w:t>
            </w:r>
            <w:r w:rsidRPr="00466AA7">
              <w:rPr>
                <w:rFonts w:cs="Arial"/>
                <w:b/>
                <w:bCs/>
                <w:color w:val="FFFFFF" w:themeColor="background1"/>
                <w:sz w:val="17"/>
                <w:szCs w:val="17"/>
                <w:lang w:val="en-US"/>
              </w:rPr>
              <w:br/>
              <w:t>1 July 2024 to 30 June 2025</w:t>
            </w:r>
          </w:p>
        </w:tc>
        <w:tc>
          <w:tcPr>
            <w:tcW w:w="7360" w:type="dxa"/>
            <w:gridSpan w:val="2"/>
          </w:tcPr>
          <w:p w14:paraId="395CD854" w14:textId="77777777" w:rsidR="006B6F53" w:rsidRPr="00224AA8" w:rsidRDefault="006B6F53" w:rsidP="00594D14">
            <w:pPr>
              <w:rPr>
                <w:noProof/>
              </w:rPr>
            </w:pPr>
            <w:r>
              <w:rPr>
                <w:noProof/>
              </w:rPr>
              <w:drawing>
                <wp:anchor distT="0" distB="0" distL="114300" distR="114300" simplePos="0" relativeHeight="251675648" behindDoc="0" locked="0" layoutInCell="1" allowOverlap="1" wp14:anchorId="185491AD" wp14:editId="599EFA02">
                  <wp:simplePos x="0" y="0"/>
                  <wp:positionH relativeFrom="column">
                    <wp:posOffset>635</wp:posOffset>
                  </wp:positionH>
                  <wp:positionV relativeFrom="paragraph">
                    <wp:posOffset>0</wp:posOffset>
                  </wp:positionV>
                  <wp:extent cx="3447619" cy="1914286"/>
                  <wp:effectExtent l="0" t="0" r="635" b="0"/>
                  <wp:wrapSquare wrapText="bothSides"/>
                  <wp:docPr id="762535309" name="Picture 1" descr="A graph of age and gen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535309" name="Picture 1" descr="A graph of age and gend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447619" cy="1914286"/>
                          </a:xfrm>
                          <a:prstGeom prst="rect">
                            <a:avLst/>
                          </a:prstGeom>
                        </pic:spPr>
                      </pic:pic>
                    </a:graphicData>
                  </a:graphic>
                </wp:anchor>
              </w:drawing>
            </w:r>
          </w:p>
        </w:tc>
      </w:tr>
    </w:tbl>
    <w:p w14:paraId="74AF5B40" w14:textId="77777777" w:rsidR="006B6F53" w:rsidRPr="00224AA8" w:rsidRDefault="006B6F53" w:rsidP="006B6F53"/>
    <w:p w14:paraId="064C8D21" w14:textId="77777777" w:rsidR="006B6F53" w:rsidRPr="00BD4BEC" w:rsidRDefault="006B6F53" w:rsidP="006B6F53">
      <w:pPr>
        <w:spacing w:after="160" w:line="259" w:lineRule="auto"/>
        <w:rPr>
          <w:rFonts w:eastAsiaTheme="majorEastAsia" w:cstheme="majorBidi"/>
          <w:i/>
          <w:iCs/>
          <w:sz w:val="22"/>
        </w:rPr>
      </w:pPr>
      <w:r w:rsidRPr="00BD4BEC">
        <w:br w:type="page"/>
      </w:r>
    </w:p>
    <w:p w14:paraId="41CEED9A" w14:textId="77777777" w:rsidR="006B6F53" w:rsidRPr="00224AA8" w:rsidRDefault="006B6F53" w:rsidP="006B6F53">
      <w:pPr>
        <w:pStyle w:val="Heading5"/>
      </w:pPr>
      <w:r w:rsidRPr="00224AA8">
        <w:lastRenderedPageBreak/>
        <w:t>Voluntary income management respondent reasons</w:t>
      </w:r>
      <w:r w:rsidRPr="00224AA8">
        <w:rPr>
          <w:rStyle w:val="FootnoteReference"/>
        </w:rPr>
        <w:footnoteReference w:id="5"/>
      </w:r>
    </w:p>
    <w:p w14:paraId="6A745F34" w14:textId="77777777" w:rsidR="0085416C" w:rsidRDefault="0085416C" w:rsidP="0085416C">
      <w:r w:rsidRPr="00224AA8">
        <w:t>Since the introduction of the CDC and its replacement, the SmartCard, the FRC has recorded the reasons and circumstances of those requesting a VIM. During 202</w:t>
      </w:r>
      <w:r>
        <w:t>4</w:t>
      </w:r>
      <w:r w:rsidRPr="00224AA8">
        <w:t>-2</w:t>
      </w:r>
      <w:r>
        <w:t>5</w:t>
      </w:r>
      <w:r w:rsidRPr="00224AA8">
        <w:t xml:space="preserve"> the primary reasons for applying for a VIM (reactive perspective) were to address the immediate need of buying food (</w:t>
      </w:r>
      <w:r>
        <w:t>67</w:t>
      </w:r>
      <w:r w:rsidRPr="00224AA8">
        <w:t>%) and to pay for bills (</w:t>
      </w:r>
      <w:r>
        <w:t>49</w:t>
      </w:r>
      <w:r w:rsidRPr="00224AA8">
        <w:t>%). The primary reasons for applying for a VIM from a proactive perspective were to set up a budget (6</w:t>
      </w:r>
      <w:r>
        <w:t>0</w:t>
      </w:r>
      <w:r w:rsidRPr="00224AA8">
        <w:t>%) and save for something the client needed, e.g. a fridge or washing machine (</w:t>
      </w:r>
      <w:r>
        <w:t>46</w:t>
      </w:r>
      <w:r w:rsidRPr="00224AA8">
        <w:t>%). Circumstances given by the VIM participants when applying for the card were primarily to support themselves (8</w:t>
      </w:r>
      <w:r>
        <w:t>2</w:t>
      </w:r>
      <w:r w:rsidRPr="00224AA8">
        <w:t>%), followed the need to support their children (3</w:t>
      </w:r>
      <w:r>
        <w:t>2</w:t>
      </w:r>
      <w:r w:rsidRPr="00224AA8">
        <w:t>%)</w:t>
      </w:r>
      <w:r>
        <w:t xml:space="preserve"> and</w:t>
      </w:r>
      <w:r w:rsidRPr="00224AA8">
        <w:t xml:space="preserve"> the need to support their family (</w:t>
      </w:r>
      <w:r>
        <w:t>27</w:t>
      </w:r>
      <w:r w:rsidRPr="00224AA8">
        <w:t>%).</w:t>
      </w:r>
    </w:p>
    <w:p w14:paraId="0CD7A13A" w14:textId="77777777" w:rsidR="006B6F53" w:rsidRPr="00224AA8" w:rsidRDefault="006B6F53" w:rsidP="006B6F53"/>
    <w:tbl>
      <w:tblPr>
        <w:tblStyle w:val="TableGrid"/>
        <w:tblpPr w:leftFromText="180" w:rightFromText="180" w:vertAnchor="text" w:tblpY="1"/>
        <w:tblOverlap w:val="never"/>
        <w:tblW w:w="8505" w:type="dxa"/>
        <w:tblLayout w:type="fixed"/>
        <w:tblLook w:val="04A0" w:firstRow="1" w:lastRow="0" w:firstColumn="1" w:lastColumn="0" w:noHBand="0" w:noVBand="1"/>
      </w:tblPr>
      <w:tblGrid>
        <w:gridCol w:w="993"/>
        <w:gridCol w:w="7512"/>
      </w:tblGrid>
      <w:tr w:rsidR="006B6F53" w:rsidRPr="00224AA8" w14:paraId="41D21846" w14:textId="77777777" w:rsidTr="00594D14">
        <w:trPr>
          <w:cantSplit/>
          <w:trHeight w:val="3528"/>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extDirection w:val="btLr"/>
          </w:tcPr>
          <w:p w14:paraId="4750D4E2" w14:textId="77777777" w:rsidR="006B6F53" w:rsidRPr="00224AA8" w:rsidRDefault="006B6F53" w:rsidP="00594D14">
            <w:pPr>
              <w:spacing w:after="0"/>
              <w:jc w:val="center"/>
              <w:rPr>
                <w:rFonts w:cs="Arial"/>
                <w:b/>
                <w:bCs/>
                <w:color w:val="FFFFFF" w:themeColor="background1"/>
                <w:sz w:val="17"/>
                <w:szCs w:val="17"/>
                <w:lang w:val="en-US"/>
              </w:rPr>
            </w:pPr>
            <w:r w:rsidRPr="00224AA8">
              <w:rPr>
                <w:rFonts w:cs="Arial"/>
                <w:b/>
                <w:bCs/>
                <w:color w:val="FFFFFF" w:themeColor="background1"/>
                <w:sz w:val="17"/>
                <w:szCs w:val="17"/>
                <w:lang w:val="en-US"/>
              </w:rPr>
              <w:t>Graph 1</w:t>
            </w:r>
            <w:r>
              <w:rPr>
                <w:rFonts w:cs="Arial"/>
                <w:b/>
                <w:bCs/>
                <w:color w:val="FFFFFF" w:themeColor="background1"/>
                <w:sz w:val="17"/>
                <w:szCs w:val="17"/>
                <w:lang w:val="en-US"/>
              </w:rPr>
              <w:t>5</w:t>
            </w:r>
            <w:r w:rsidRPr="00224AA8">
              <w:rPr>
                <w:rFonts w:cs="Arial"/>
                <w:b/>
                <w:bCs/>
                <w:color w:val="FFFFFF" w:themeColor="background1"/>
                <w:sz w:val="17"/>
                <w:szCs w:val="17"/>
                <w:lang w:val="en-US"/>
              </w:rPr>
              <w:t>: Breakdown of SmartCard VIMs by circumstances</w:t>
            </w:r>
            <w:r w:rsidRPr="00224AA8">
              <w:rPr>
                <w:rFonts w:cs="Arial"/>
                <w:b/>
                <w:bCs/>
                <w:color w:val="FFFFFF" w:themeColor="background1"/>
                <w:sz w:val="17"/>
                <w:szCs w:val="17"/>
                <w:lang w:val="en-US"/>
              </w:rPr>
              <w:br/>
              <w:t>1 July 202</w:t>
            </w:r>
            <w:r>
              <w:rPr>
                <w:rFonts w:cs="Arial"/>
                <w:b/>
                <w:bCs/>
                <w:color w:val="FFFFFF" w:themeColor="background1"/>
                <w:sz w:val="17"/>
                <w:szCs w:val="17"/>
                <w:lang w:val="en-US"/>
              </w:rPr>
              <w:t>4</w:t>
            </w:r>
            <w:r w:rsidRPr="00224AA8">
              <w:rPr>
                <w:rFonts w:cs="Arial"/>
                <w:b/>
                <w:bCs/>
                <w:color w:val="FFFFFF" w:themeColor="background1"/>
                <w:sz w:val="17"/>
                <w:szCs w:val="17"/>
                <w:lang w:val="en-US"/>
              </w:rPr>
              <w:t xml:space="preserve"> to 30 June 202</w:t>
            </w:r>
            <w:r>
              <w:rPr>
                <w:rFonts w:cs="Arial"/>
                <w:b/>
                <w:bCs/>
                <w:color w:val="FFFFFF" w:themeColor="background1"/>
                <w:sz w:val="17"/>
                <w:szCs w:val="17"/>
                <w:lang w:val="en-US"/>
              </w:rPr>
              <w:t>5</w:t>
            </w:r>
          </w:p>
        </w:tc>
        <w:tc>
          <w:tcPr>
            <w:tcW w:w="7512" w:type="dxa"/>
            <w:tcBorders>
              <w:top w:val="nil"/>
              <w:left w:val="single" w:sz="4" w:space="0" w:color="808080" w:themeColor="background1" w:themeShade="80"/>
              <w:bottom w:val="nil"/>
              <w:right w:val="nil"/>
            </w:tcBorders>
          </w:tcPr>
          <w:p w14:paraId="0303BF64" w14:textId="77777777" w:rsidR="006B6F53" w:rsidRPr="00224AA8" w:rsidRDefault="006B6F53" w:rsidP="00594D14">
            <w:pPr>
              <w:spacing w:after="0"/>
              <w:rPr>
                <w:rFonts w:cs="Arial"/>
                <w:b/>
                <w:bCs/>
                <w:color w:val="FFFFFF" w:themeColor="background1"/>
                <w:sz w:val="17"/>
                <w:szCs w:val="17"/>
                <w:lang w:val="en-US"/>
              </w:rPr>
            </w:pPr>
            <w:r w:rsidRPr="00CA770A">
              <w:rPr>
                <w:rFonts w:cs="Arial"/>
                <w:b/>
                <w:bCs/>
                <w:noProof/>
                <w:color w:val="FFFFFF" w:themeColor="background1"/>
                <w:sz w:val="17"/>
                <w:szCs w:val="17"/>
                <w:lang w:val="en-US"/>
              </w:rPr>
              <w:drawing>
                <wp:anchor distT="0" distB="0" distL="114300" distR="114300" simplePos="0" relativeHeight="251674624" behindDoc="1" locked="0" layoutInCell="1" allowOverlap="1" wp14:anchorId="6D73ADE4" wp14:editId="09E2E743">
                  <wp:simplePos x="0" y="0"/>
                  <wp:positionH relativeFrom="column">
                    <wp:posOffset>74930</wp:posOffset>
                  </wp:positionH>
                  <wp:positionV relativeFrom="paragraph">
                    <wp:posOffset>3810</wp:posOffset>
                  </wp:positionV>
                  <wp:extent cx="4267200" cy="2238375"/>
                  <wp:effectExtent l="0" t="0" r="0" b="0"/>
                  <wp:wrapTight wrapText="bothSides">
                    <wp:wrapPolygon edited="0">
                      <wp:start x="3471" y="735"/>
                      <wp:lineTo x="3471" y="2941"/>
                      <wp:lineTo x="6364" y="4044"/>
                      <wp:lineTo x="10800" y="4044"/>
                      <wp:lineTo x="3375" y="5883"/>
                      <wp:lineTo x="3375" y="6986"/>
                      <wp:lineTo x="9643" y="6986"/>
                      <wp:lineTo x="1639" y="9008"/>
                      <wp:lineTo x="1543" y="9927"/>
                      <wp:lineTo x="3857" y="9927"/>
                      <wp:lineTo x="1157" y="12133"/>
                      <wp:lineTo x="1157" y="12868"/>
                      <wp:lineTo x="3375" y="12868"/>
                      <wp:lineTo x="4436" y="15809"/>
                      <wp:lineTo x="0" y="18383"/>
                      <wp:lineTo x="0" y="19118"/>
                      <wp:lineTo x="8004" y="20405"/>
                      <wp:lineTo x="9643" y="20773"/>
                      <wp:lineTo x="10029" y="20773"/>
                      <wp:lineTo x="10125" y="20405"/>
                      <wp:lineTo x="11186" y="18751"/>
                      <wp:lineTo x="14079" y="15809"/>
                      <wp:lineTo x="14850" y="12684"/>
                      <wp:lineTo x="12825" y="9927"/>
                      <wp:lineTo x="13789" y="9927"/>
                      <wp:lineTo x="18514" y="6986"/>
                      <wp:lineTo x="19961" y="6802"/>
                      <wp:lineTo x="19671" y="5883"/>
                      <wp:lineTo x="10800" y="4044"/>
                      <wp:lineTo x="15139" y="4044"/>
                      <wp:lineTo x="18129" y="2757"/>
                      <wp:lineTo x="17936" y="735"/>
                      <wp:lineTo x="3471" y="735"/>
                    </wp:wrapPolygon>
                  </wp:wrapTight>
                  <wp:docPr id="197350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200" cy="2238375"/>
                          </a:xfrm>
                          <a:prstGeom prst="rect">
                            <a:avLst/>
                          </a:prstGeom>
                          <a:noFill/>
                          <a:ln>
                            <a:noFill/>
                          </a:ln>
                        </pic:spPr>
                      </pic:pic>
                    </a:graphicData>
                  </a:graphic>
                  <wp14:sizeRelV relativeFrom="margin">
                    <wp14:pctHeight>0</wp14:pctHeight>
                  </wp14:sizeRelV>
                </wp:anchor>
              </w:drawing>
            </w:r>
          </w:p>
        </w:tc>
      </w:tr>
      <w:tr w:rsidR="006B6F53" w:rsidRPr="00224AA8" w14:paraId="59F7E0B9" w14:textId="77777777" w:rsidTr="00594D14">
        <w:trPr>
          <w:trHeight w:val="284"/>
        </w:trPr>
        <w:tc>
          <w:tcPr>
            <w:tcW w:w="993" w:type="dxa"/>
            <w:tcBorders>
              <w:top w:val="single" w:sz="4" w:space="0" w:color="808080" w:themeColor="background1" w:themeShade="80"/>
              <w:left w:val="nil"/>
              <w:bottom w:val="single" w:sz="4" w:space="0" w:color="808080" w:themeColor="background1" w:themeShade="80"/>
              <w:right w:val="nil"/>
            </w:tcBorders>
            <w:textDirection w:val="btLr"/>
          </w:tcPr>
          <w:p w14:paraId="33FA1112" w14:textId="77777777" w:rsidR="006B6F53" w:rsidRPr="00224AA8" w:rsidRDefault="006B6F53" w:rsidP="00594D14">
            <w:pPr>
              <w:spacing w:after="0"/>
              <w:rPr>
                <w:rFonts w:cs="Arial"/>
                <w:b/>
                <w:bCs/>
                <w:color w:val="FFFFFF" w:themeColor="background1"/>
                <w:sz w:val="17"/>
                <w:szCs w:val="17"/>
                <w:lang w:val="en-US"/>
              </w:rPr>
            </w:pPr>
          </w:p>
        </w:tc>
        <w:tc>
          <w:tcPr>
            <w:tcW w:w="7512" w:type="dxa"/>
            <w:tcBorders>
              <w:top w:val="nil"/>
              <w:left w:val="nil"/>
              <w:bottom w:val="nil"/>
              <w:right w:val="nil"/>
            </w:tcBorders>
          </w:tcPr>
          <w:p w14:paraId="1B6DAFA4" w14:textId="77777777" w:rsidR="006B6F53" w:rsidRPr="00224AA8" w:rsidRDefault="006B6F53" w:rsidP="00594D14">
            <w:pPr>
              <w:rPr>
                <w:noProof/>
              </w:rPr>
            </w:pPr>
          </w:p>
        </w:tc>
      </w:tr>
      <w:tr w:rsidR="006B6F53" w:rsidRPr="00224AA8" w14:paraId="41714FEC" w14:textId="77777777" w:rsidTr="00594D14">
        <w:trPr>
          <w:trHeight w:val="4952"/>
        </w:trPr>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extDirection w:val="btLr"/>
          </w:tcPr>
          <w:p w14:paraId="1574F140" w14:textId="77777777" w:rsidR="006B6F53" w:rsidRPr="0002593F" w:rsidRDefault="006B6F53" w:rsidP="00594D14">
            <w:pPr>
              <w:spacing w:after="0"/>
              <w:jc w:val="center"/>
              <w:rPr>
                <w:rFonts w:cs="Arial"/>
                <w:b/>
                <w:bCs/>
                <w:color w:val="FFFFFF" w:themeColor="background1"/>
                <w:sz w:val="17"/>
                <w:szCs w:val="17"/>
                <w:lang w:val="en-US"/>
              </w:rPr>
            </w:pPr>
            <w:r w:rsidRPr="0002593F">
              <w:rPr>
                <w:rFonts w:cs="Arial"/>
                <w:b/>
                <w:bCs/>
                <w:color w:val="FFFFFF" w:themeColor="background1"/>
                <w:sz w:val="17"/>
                <w:szCs w:val="17"/>
                <w:lang w:val="en-US"/>
              </w:rPr>
              <w:t>Graph 1</w:t>
            </w:r>
            <w:r>
              <w:rPr>
                <w:rFonts w:cs="Arial"/>
                <w:b/>
                <w:bCs/>
                <w:color w:val="FFFFFF" w:themeColor="background1"/>
                <w:sz w:val="17"/>
                <w:szCs w:val="17"/>
                <w:lang w:val="en-US"/>
              </w:rPr>
              <w:t>6</w:t>
            </w:r>
            <w:r w:rsidRPr="0002593F">
              <w:rPr>
                <w:rFonts w:cs="Arial"/>
                <w:b/>
                <w:bCs/>
                <w:color w:val="FFFFFF" w:themeColor="background1"/>
                <w:sz w:val="17"/>
                <w:szCs w:val="17"/>
                <w:lang w:val="en-US"/>
              </w:rPr>
              <w:t>: Breakdown of SmartCard VIMs</w:t>
            </w:r>
            <w:r w:rsidRPr="0002593F">
              <w:rPr>
                <w:rFonts w:cs="Arial"/>
                <w:b/>
                <w:bCs/>
                <w:color w:val="FFFFFF" w:themeColor="background1"/>
                <w:sz w:val="17"/>
                <w:szCs w:val="17"/>
                <w:lang w:val="en-US"/>
              </w:rPr>
              <w:br/>
              <w:t xml:space="preserve"> by reasons 1 July 2024 to 30 June 2025</w:t>
            </w:r>
          </w:p>
        </w:tc>
        <w:tc>
          <w:tcPr>
            <w:tcW w:w="7512" w:type="dxa"/>
            <w:tcBorders>
              <w:top w:val="nil"/>
              <w:left w:val="single" w:sz="4" w:space="0" w:color="808080" w:themeColor="background1" w:themeShade="80"/>
              <w:bottom w:val="nil"/>
              <w:right w:val="nil"/>
            </w:tcBorders>
          </w:tcPr>
          <w:p w14:paraId="4257E823" w14:textId="77777777" w:rsidR="006B6F53" w:rsidRPr="00224AA8" w:rsidRDefault="006B6F53" w:rsidP="00594D14">
            <w:r w:rsidRPr="005E765C">
              <w:rPr>
                <w:noProof/>
              </w:rPr>
              <w:drawing>
                <wp:anchor distT="0" distB="0" distL="114300" distR="114300" simplePos="0" relativeHeight="251678720" behindDoc="0" locked="0" layoutInCell="1" allowOverlap="1" wp14:anchorId="60CEAA50" wp14:editId="7368A902">
                  <wp:simplePos x="0" y="0"/>
                  <wp:positionH relativeFrom="column">
                    <wp:posOffset>67310</wp:posOffset>
                  </wp:positionH>
                  <wp:positionV relativeFrom="paragraph">
                    <wp:posOffset>-59055</wp:posOffset>
                  </wp:positionV>
                  <wp:extent cx="4190365" cy="3381375"/>
                  <wp:effectExtent l="0" t="0" r="0" b="0"/>
                  <wp:wrapNone/>
                  <wp:docPr id="17352310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0365" cy="338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4AA8">
              <w:rPr>
                <w:noProof/>
              </w:rPr>
              <mc:AlternateContent>
                <mc:Choice Requires="wps">
                  <w:drawing>
                    <wp:anchor distT="0" distB="0" distL="114300" distR="114300" simplePos="0" relativeHeight="251673600" behindDoc="0" locked="0" layoutInCell="1" allowOverlap="1" wp14:anchorId="1128ABCA" wp14:editId="605313D0">
                      <wp:simplePos x="0" y="0"/>
                      <wp:positionH relativeFrom="margin">
                        <wp:posOffset>64135</wp:posOffset>
                      </wp:positionH>
                      <wp:positionV relativeFrom="paragraph">
                        <wp:posOffset>458470</wp:posOffset>
                      </wp:positionV>
                      <wp:extent cx="3867150" cy="384810"/>
                      <wp:effectExtent l="0" t="0" r="0" b="0"/>
                      <wp:wrapNone/>
                      <wp:docPr id="14" name="Text Box 2">
                        <a:extLst xmlns:a="http://schemas.openxmlformats.org/drawingml/2006/main">
                          <a:ext uri="{FF2B5EF4-FFF2-40B4-BE49-F238E27FC236}">
                            <a16:creationId xmlns:a16="http://schemas.microsoft.com/office/drawing/2014/main" id="{0B5A2CCB-FE91-4C4B-8D91-695D6206C8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84810"/>
                              </a:xfrm>
                              <a:prstGeom prst="rect">
                                <a:avLst/>
                              </a:prstGeom>
                              <a:solidFill>
                                <a:schemeClr val="bg1">
                                  <a:lumMod val="75000"/>
                                </a:schemeClr>
                              </a:solidFill>
                              <a:ln w="9525">
                                <a:noFill/>
                                <a:miter lim="800000"/>
                                <a:headEnd/>
                                <a:tailEnd/>
                              </a:ln>
                            </wps:spPr>
                            <wps:txbx>
                              <w:txbxContent>
                                <w:p w14:paraId="0FD8D162" w14:textId="77777777" w:rsidR="006B6F53" w:rsidRDefault="006B6F53" w:rsidP="006B6F53">
                                  <w:pPr>
                                    <w:spacing w:line="276" w:lineRule="auto"/>
                                    <w:jc w:val="center"/>
                                    <w:rPr>
                                      <w:rFonts w:ascii="Calibri" w:eastAsia="Calibri" w:hAnsi="Calibri"/>
                                      <w:b/>
                                      <w:bCs/>
                                      <w:sz w:val="28"/>
                                      <w:szCs w:val="28"/>
                                    </w:rPr>
                                  </w:pPr>
                                  <w:r>
                                    <w:rPr>
                                      <w:rFonts w:ascii="Calibri" w:eastAsia="Calibri" w:hAnsi="Calibri"/>
                                      <w:b/>
                                      <w:bCs/>
                                      <w:sz w:val="28"/>
                                      <w:szCs w:val="28"/>
                                    </w:rPr>
                                    <w:t>Future needs – proactive actions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28ABCA" id="_x0000_t202" coordsize="21600,21600" o:spt="202" path="m,l,21600r21600,l21600,xe">
                      <v:stroke joinstyle="miter"/>
                      <v:path gradientshapeok="t" o:connecttype="rect"/>
                    </v:shapetype>
                    <v:shape id="Text Box 2" o:spid="_x0000_s1026" type="#_x0000_t202" style="position:absolute;margin-left:5.05pt;margin-top:36.1pt;width:304.5pt;height:30.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" fillcolor="#bfbfbf [2412]" stroked="f">
                      <v:textbox>
                        <w:txbxContent>
                          <w:p w14:paraId="0FD8D162" w14:textId="77777777" w:rsidR="006B6F53" w:rsidRDefault="006B6F53" w:rsidP="006B6F53">
                            <w:pPr>
                              <w:spacing w:line="276" w:lineRule="auto"/>
                              <w:jc w:val="center"/>
                              <w:rPr>
                                <w:rFonts w:ascii="Calibri" w:eastAsia="Calibri" w:hAnsi="Calibri"/>
                                <w:b/>
                                <w:bCs/>
                                <w:sz w:val="28"/>
                                <w:szCs w:val="28"/>
                              </w:rPr>
                            </w:pPr>
                            <w:r>
                              <w:rPr>
                                <w:rFonts w:ascii="Calibri" w:eastAsia="Calibri" w:hAnsi="Calibri"/>
                                <w:b/>
                                <w:bCs/>
                                <w:sz w:val="28"/>
                                <w:szCs w:val="28"/>
                              </w:rPr>
                              <w:t>Future needs – proactive actions</w:t>
                            </w:r>
                          </w:p>
                        </w:txbxContent>
                      </v:textbox>
                      <w10:wrap anchorx="margin"/>
                    </v:shape>
                  </w:pict>
                </mc:Fallback>
              </mc:AlternateContent>
            </w:r>
          </w:p>
        </w:tc>
      </w:tr>
    </w:tbl>
    <w:p w14:paraId="3313D5F8" w14:textId="77777777" w:rsidR="006B6F53" w:rsidRPr="00224AA8" w:rsidRDefault="006B6F53" w:rsidP="006B6F53">
      <w:pPr>
        <w:pStyle w:val="Heading3"/>
      </w:pPr>
      <w:r w:rsidRPr="00224AA8">
        <w:lastRenderedPageBreak/>
        <w:t>The FRC improves community responsibility by building partnerships and helping people to resume primary responsibility.</w:t>
      </w:r>
    </w:p>
    <w:p w14:paraId="1B045EA4" w14:textId="77777777" w:rsidR="006B6F53" w:rsidRPr="00224AA8" w:rsidRDefault="006B6F53" w:rsidP="006B6F53"/>
    <w:p w14:paraId="11AF815D" w14:textId="77777777" w:rsidR="006B6F53" w:rsidRPr="00224AA8" w:rsidRDefault="006B6F53" w:rsidP="006B6F53">
      <w:pPr>
        <w:pStyle w:val="Heading5"/>
      </w:pPr>
      <w:r w:rsidRPr="00224AA8">
        <w:t>Referrals help build individual client capabilities.</w:t>
      </w:r>
    </w:p>
    <w:p w14:paraId="0048AFC0" w14:textId="77777777" w:rsidR="0085416C" w:rsidRPr="00224AA8" w:rsidRDefault="0085416C" w:rsidP="0085416C">
      <w:r w:rsidRPr="00224AA8">
        <w:t>Referrals to service providers are an integral part of achieving the Commission’s strategic outcomes of improved community wellbeing and responsibility.</w:t>
      </w:r>
    </w:p>
    <w:p w14:paraId="7F8B08C7" w14:textId="77777777" w:rsidR="0085416C" w:rsidRPr="00224AA8" w:rsidRDefault="0085416C" w:rsidP="0085416C">
      <w:r w:rsidRPr="00224AA8">
        <w:t>During 202</w:t>
      </w:r>
      <w:r>
        <w:t>4</w:t>
      </w:r>
      <w:r w:rsidRPr="00224AA8">
        <w:t>-2</w:t>
      </w:r>
      <w:r>
        <w:t>5</w:t>
      </w:r>
      <w:r w:rsidRPr="00224AA8">
        <w:t xml:space="preserve"> a grand total of </w:t>
      </w:r>
      <w:r>
        <w:t>528</w:t>
      </w:r>
      <w:r w:rsidRPr="00224AA8">
        <w:t xml:space="preserve"> referrals were put in place (inclusive of referrals from FRAs, orders and VCPs) relating to </w:t>
      </w:r>
      <w:r>
        <w:t>391</w:t>
      </w:r>
      <w:r w:rsidRPr="00224AA8">
        <w:t xml:space="preserve"> clients.</w:t>
      </w:r>
    </w:p>
    <w:p w14:paraId="13DCA4B2" w14:textId="77777777" w:rsidR="0085416C" w:rsidRPr="00224AA8" w:rsidRDefault="0085416C" w:rsidP="0085416C">
      <w:r>
        <w:t>As a subset of the above, d</w:t>
      </w:r>
      <w:r w:rsidRPr="00224AA8">
        <w:t xml:space="preserve">uring this reporting period </w:t>
      </w:r>
      <w:r>
        <w:t>342</w:t>
      </w:r>
      <w:r w:rsidRPr="00224AA8">
        <w:t xml:space="preserve"> referrals were made (inclusive of FRAs and orders) to attend support services for </w:t>
      </w:r>
      <w:r>
        <w:t>267</w:t>
      </w:r>
      <w:r w:rsidRPr="00224AA8">
        <w:t xml:space="preserve"> clients.</w:t>
      </w:r>
    </w:p>
    <w:p w14:paraId="2270F621" w14:textId="77777777" w:rsidR="006B6F53" w:rsidRPr="00224AA8" w:rsidRDefault="006B6F53" w:rsidP="006B6F53"/>
    <w:p w14:paraId="629F069C" w14:textId="77777777" w:rsidR="006B6F53" w:rsidRPr="00224AA8" w:rsidRDefault="006B6F53" w:rsidP="006B6F53">
      <w:pPr>
        <w:spacing w:after="160" w:line="259" w:lineRule="auto"/>
        <w:rPr>
          <w:rFonts w:cs="Arial"/>
          <w:lang w:val="en-US"/>
        </w:rPr>
      </w:pPr>
      <w:r w:rsidRPr="00224AA8">
        <w:rPr>
          <w:rFonts w:cs="Arial"/>
          <w:b/>
          <w:bCs/>
          <w:sz w:val="17"/>
          <w:szCs w:val="17"/>
          <w:lang w:val="en-US"/>
        </w:rPr>
        <w:t xml:space="preserve">Table </w:t>
      </w:r>
      <w:r>
        <w:rPr>
          <w:rFonts w:cs="Arial"/>
          <w:b/>
          <w:bCs/>
          <w:sz w:val="17"/>
          <w:szCs w:val="17"/>
          <w:lang w:val="en-US"/>
        </w:rPr>
        <w:t>8</w:t>
      </w:r>
      <w:r w:rsidRPr="00224AA8">
        <w:rPr>
          <w:rFonts w:cs="Arial"/>
          <w:b/>
          <w:bCs/>
          <w:sz w:val="17"/>
          <w:szCs w:val="17"/>
          <w:lang w:val="en-US"/>
        </w:rPr>
        <w:t>: FRC conditional referral pathways by referral type and quarter 1 July 202</w:t>
      </w:r>
      <w:r>
        <w:rPr>
          <w:rFonts w:cs="Arial"/>
          <w:b/>
          <w:bCs/>
          <w:sz w:val="17"/>
          <w:szCs w:val="17"/>
          <w:lang w:val="en-US"/>
        </w:rPr>
        <w:t>4</w:t>
      </w:r>
      <w:r w:rsidRPr="00224AA8">
        <w:rPr>
          <w:rFonts w:cs="Arial"/>
          <w:b/>
          <w:bCs/>
          <w:sz w:val="17"/>
          <w:szCs w:val="17"/>
          <w:lang w:val="en-US"/>
        </w:rPr>
        <w:t xml:space="preserve"> to 30 June 202</w:t>
      </w:r>
      <w:r>
        <w:rPr>
          <w:rFonts w:cs="Arial"/>
          <w:b/>
          <w:bCs/>
          <w:sz w:val="17"/>
          <w:szCs w:val="17"/>
          <w:lang w:val="en-US"/>
        </w:rPr>
        <w:t>5</w:t>
      </w:r>
    </w:p>
    <w:tbl>
      <w:tblPr>
        <w:tblW w:w="8588" w:type="dxa"/>
        <w:tblLayout w:type="fixed"/>
        <w:tblLook w:val="04A0" w:firstRow="1" w:lastRow="0" w:firstColumn="1" w:lastColumn="0" w:noHBand="0" w:noVBand="1"/>
      </w:tblPr>
      <w:tblGrid>
        <w:gridCol w:w="3898"/>
        <w:gridCol w:w="938"/>
        <w:gridCol w:w="938"/>
        <w:gridCol w:w="938"/>
        <w:gridCol w:w="938"/>
        <w:gridCol w:w="938"/>
      </w:tblGrid>
      <w:tr w:rsidR="006B6F53" w:rsidRPr="00224AA8" w14:paraId="0C65F7D5" w14:textId="77777777" w:rsidTr="00594D14">
        <w:trPr>
          <w:trHeight w:val="394"/>
        </w:trPr>
        <w:tc>
          <w:tcPr>
            <w:tcW w:w="389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09CD7879" w14:textId="77777777" w:rsidR="006B6F53" w:rsidRPr="00224AA8" w:rsidRDefault="006B6F53" w:rsidP="00594D14">
            <w:pPr>
              <w:spacing w:before="60" w:after="60"/>
              <w:rPr>
                <w:rFonts w:cs="Arial"/>
                <w:b/>
                <w:bCs/>
                <w:color w:val="FFFFFF" w:themeColor="background1"/>
                <w:szCs w:val="20"/>
              </w:rPr>
            </w:pPr>
            <w:r w:rsidRPr="00224AA8">
              <w:rPr>
                <w:rFonts w:cs="Arial"/>
                <w:b/>
                <w:bCs/>
                <w:color w:val="FFFFFF" w:themeColor="background1"/>
                <w:szCs w:val="20"/>
              </w:rPr>
              <w:t>Referral type</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2A937FB8" w14:textId="77777777" w:rsidR="006B6F53" w:rsidRPr="00224AA8" w:rsidRDefault="006B6F53" w:rsidP="00594D14">
            <w:pPr>
              <w:spacing w:before="60" w:after="60"/>
              <w:jc w:val="right"/>
              <w:rPr>
                <w:rFonts w:cs="Arial"/>
                <w:b/>
                <w:bCs/>
                <w:color w:val="FFFFFF" w:themeColor="background1"/>
                <w:szCs w:val="20"/>
              </w:rPr>
            </w:pPr>
            <w:r w:rsidRPr="00224AA8">
              <w:rPr>
                <w:b/>
                <w:bCs/>
                <w:color w:val="FFFFFF" w:themeColor="background1"/>
              </w:rPr>
              <w:t>Qtr 6</w:t>
            </w:r>
            <w:r>
              <w:rPr>
                <w:b/>
                <w:bCs/>
                <w:color w:val="FFFFFF" w:themeColor="background1"/>
              </w:rPr>
              <w:t>5</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77976D70" w14:textId="77777777" w:rsidR="006B6F53" w:rsidRPr="00224AA8" w:rsidRDefault="006B6F53" w:rsidP="00594D14">
            <w:pPr>
              <w:spacing w:before="60" w:after="60"/>
              <w:jc w:val="right"/>
              <w:rPr>
                <w:rFonts w:cs="Arial"/>
                <w:b/>
                <w:bCs/>
                <w:color w:val="FFFFFF" w:themeColor="background1"/>
                <w:szCs w:val="20"/>
              </w:rPr>
            </w:pPr>
            <w:r w:rsidRPr="00224AA8">
              <w:rPr>
                <w:b/>
                <w:bCs/>
                <w:color w:val="FFFFFF" w:themeColor="background1"/>
              </w:rPr>
              <w:t>Qtr 6</w:t>
            </w:r>
            <w:r>
              <w:rPr>
                <w:b/>
                <w:bCs/>
                <w:color w:val="FFFFFF" w:themeColor="background1"/>
              </w:rPr>
              <w:t>6</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074E595A" w14:textId="77777777" w:rsidR="006B6F53" w:rsidRPr="00224AA8" w:rsidRDefault="006B6F53" w:rsidP="00594D14">
            <w:pPr>
              <w:spacing w:before="60" w:after="60"/>
              <w:jc w:val="right"/>
              <w:rPr>
                <w:rFonts w:cs="Arial"/>
                <w:b/>
                <w:bCs/>
                <w:color w:val="FFFFFF" w:themeColor="background1"/>
                <w:szCs w:val="20"/>
              </w:rPr>
            </w:pPr>
            <w:r w:rsidRPr="00224AA8">
              <w:rPr>
                <w:b/>
                <w:bCs/>
                <w:color w:val="FFFFFF" w:themeColor="background1"/>
              </w:rPr>
              <w:t>Qtr 6</w:t>
            </w:r>
            <w:r>
              <w:rPr>
                <w:b/>
                <w:bCs/>
                <w:color w:val="FFFFFF" w:themeColor="background1"/>
              </w:rPr>
              <w:t>7</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63C68851" w14:textId="77777777" w:rsidR="006B6F53" w:rsidRPr="00224AA8" w:rsidRDefault="006B6F53" w:rsidP="00594D14">
            <w:pPr>
              <w:spacing w:before="60" w:after="60"/>
              <w:jc w:val="right"/>
              <w:rPr>
                <w:rFonts w:cs="Arial"/>
                <w:b/>
                <w:bCs/>
                <w:color w:val="FFFFFF" w:themeColor="background1"/>
                <w:szCs w:val="20"/>
              </w:rPr>
            </w:pPr>
            <w:r w:rsidRPr="00224AA8">
              <w:rPr>
                <w:b/>
                <w:bCs/>
                <w:color w:val="FFFFFF" w:themeColor="background1"/>
              </w:rPr>
              <w:t>Qtr 6</w:t>
            </w:r>
            <w:r>
              <w:rPr>
                <w:b/>
                <w:bCs/>
                <w:color w:val="FFFFFF" w:themeColor="background1"/>
              </w:rPr>
              <w:t>8</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52687539" w14:textId="77777777" w:rsidR="006B6F53" w:rsidRPr="00224AA8" w:rsidRDefault="006B6F53" w:rsidP="00594D14">
            <w:pPr>
              <w:spacing w:before="60" w:after="60"/>
              <w:jc w:val="right"/>
              <w:rPr>
                <w:rFonts w:cs="Arial"/>
                <w:b/>
                <w:bCs/>
                <w:color w:val="FFFFFF" w:themeColor="background1"/>
                <w:szCs w:val="20"/>
              </w:rPr>
            </w:pPr>
            <w:r w:rsidRPr="00224AA8">
              <w:rPr>
                <w:b/>
                <w:bCs/>
                <w:color w:val="FFFFFF" w:themeColor="background1"/>
              </w:rPr>
              <w:t>Total</w:t>
            </w:r>
          </w:p>
        </w:tc>
      </w:tr>
      <w:tr w:rsidR="0085416C" w:rsidRPr="00224AA8" w14:paraId="0D130721"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3EE15DFA" w14:textId="5FFB715A" w:rsidR="0085416C" w:rsidRPr="00224AA8" w:rsidRDefault="0085416C" w:rsidP="0085416C">
            <w:pPr>
              <w:spacing w:beforeLines="20" w:before="48" w:afterLines="20" w:after="48" w:line="240" w:lineRule="auto"/>
              <w:rPr>
                <w:rFonts w:cs="Arial"/>
                <w:szCs w:val="20"/>
              </w:rPr>
            </w:pPr>
            <w:r>
              <w:rPr>
                <w:rFonts w:cs="Arial"/>
                <w:szCs w:val="20"/>
              </w:rPr>
              <w:t>Aurukun Shire Council</w:t>
            </w:r>
          </w:p>
        </w:tc>
        <w:tc>
          <w:tcPr>
            <w:tcW w:w="938" w:type="dxa"/>
            <w:tcBorders>
              <w:top w:val="nil"/>
              <w:left w:val="nil"/>
              <w:bottom w:val="single" w:sz="4" w:space="0" w:color="auto"/>
              <w:right w:val="single" w:sz="4" w:space="0" w:color="auto"/>
            </w:tcBorders>
            <w:noWrap/>
          </w:tcPr>
          <w:p w14:paraId="66DF111E" w14:textId="2F48B727"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16A088D0" w14:textId="0C03FF1B"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27AD5008" w14:textId="0FBC7E65"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3EE40CC9" w14:textId="1AE7DB95" w:rsidR="0085416C" w:rsidRPr="00FC4B0F" w:rsidRDefault="0085416C" w:rsidP="0085416C">
            <w:pPr>
              <w:spacing w:beforeLines="20" w:before="48" w:afterLines="20" w:after="48" w:line="240" w:lineRule="auto"/>
              <w:jc w:val="right"/>
              <w:rPr>
                <w:rFonts w:cs="Arial"/>
                <w:szCs w:val="20"/>
              </w:rPr>
            </w:pPr>
            <w:r w:rsidRPr="00FC4B0F">
              <w:rPr>
                <w:rFonts w:cs="Arial"/>
                <w:szCs w:val="20"/>
              </w:rPr>
              <w:t>2</w:t>
            </w:r>
          </w:p>
        </w:tc>
        <w:tc>
          <w:tcPr>
            <w:tcW w:w="938" w:type="dxa"/>
            <w:tcBorders>
              <w:top w:val="nil"/>
              <w:left w:val="nil"/>
              <w:bottom w:val="single" w:sz="4" w:space="0" w:color="auto"/>
              <w:right w:val="single" w:sz="4" w:space="0" w:color="auto"/>
            </w:tcBorders>
            <w:vAlign w:val="bottom"/>
          </w:tcPr>
          <w:p w14:paraId="4DCB589B" w14:textId="5CBE1D2D"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2</w:t>
            </w:r>
          </w:p>
        </w:tc>
      </w:tr>
      <w:tr w:rsidR="0085416C" w:rsidRPr="00224AA8" w14:paraId="5125A4AD"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2E054825" w14:textId="2B7848B4" w:rsidR="0085416C" w:rsidRPr="00224AA8" w:rsidRDefault="0085416C" w:rsidP="0085416C">
            <w:pPr>
              <w:spacing w:beforeLines="20" w:before="48" w:afterLines="20" w:after="48" w:line="240" w:lineRule="auto"/>
              <w:rPr>
                <w:rFonts w:cs="Arial"/>
                <w:szCs w:val="20"/>
              </w:rPr>
            </w:pPr>
            <w:r>
              <w:rPr>
                <w:rFonts w:cs="Arial"/>
                <w:szCs w:val="20"/>
              </w:rPr>
              <w:t xml:space="preserve">Bamanga Bubu </w:t>
            </w:r>
            <w:proofErr w:type="spellStart"/>
            <w:r>
              <w:rPr>
                <w:rFonts w:cs="Arial"/>
                <w:szCs w:val="20"/>
              </w:rPr>
              <w:t>Ngadimunka</w:t>
            </w:r>
            <w:proofErr w:type="spellEnd"/>
          </w:p>
        </w:tc>
        <w:tc>
          <w:tcPr>
            <w:tcW w:w="938" w:type="dxa"/>
            <w:tcBorders>
              <w:top w:val="nil"/>
              <w:left w:val="nil"/>
              <w:bottom w:val="single" w:sz="4" w:space="0" w:color="auto"/>
              <w:right w:val="single" w:sz="4" w:space="0" w:color="auto"/>
            </w:tcBorders>
            <w:noWrap/>
          </w:tcPr>
          <w:p w14:paraId="1BAD6E0A" w14:textId="05DA163E"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67632AC1" w14:textId="3A513C82"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626C25FF" w14:textId="499FF96D" w:rsidR="0085416C" w:rsidRPr="00FC4B0F" w:rsidRDefault="0085416C" w:rsidP="0085416C">
            <w:pPr>
              <w:spacing w:beforeLines="20" w:before="48" w:afterLines="20" w:after="48" w:line="240" w:lineRule="auto"/>
              <w:jc w:val="right"/>
              <w:rPr>
                <w:rFonts w:cs="Arial"/>
                <w:szCs w:val="20"/>
              </w:rPr>
            </w:pPr>
            <w:r w:rsidRPr="00FC4B0F">
              <w:rPr>
                <w:rFonts w:cs="Arial"/>
                <w:szCs w:val="20"/>
              </w:rPr>
              <w:t>1</w:t>
            </w:r>
          </w:p>
        </w:tc>
        <w:tc>
          <w:tcPr>
            <w:tcW w:w="938" w:type="dxa"/>
            <w:tcBorders>
              <w:top w:val="nil"/>
              <w:left w:val="nil"/>
              <w:bottom w:val="single" w:sz="4" w:space="0" w:color="auto"/>
              <w:right w:val="single" w:sz="4" w:space="0" w:color="auto"/>
            </w:tcBorders>
            <w:noWrap/>
          </w:tcPr>
          <w:p w14:paraId="69FA9973" w14:textId="79049B29"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vAlign w:val="bottom"/>
          </w:tcPr>
          <w:p w14:paraId="4DDDCD9B" w14:textId="5664EDDD"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1</w:t>
            </w:r>
          </w:p>
        </w:tc>
      </w:tr>
      <w:tr w:rsidR="0085416C" w:rsidRPr="00224AA8" w14:paraId="4113FF45"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2C2B53DF" w14:textId="794764BC" w:rsidR="0085416C" w:rsidRPr="00224AA8" w:rsidRDefault="0085416C" w:rsidP="0085416C">
            <w:pPr>
              <w:spacing w:beforeLines="20" w:before="48" w:afterLines="20" w:after="48" w:line="240" w:lineRule="auto"/>
              <w:rPr>
                <w:rFonts w:cs="Arial"/>
                <w:szCs w:val="20"/>
              </w:rPr>
            </w:pPr>
            <w:r>
              <w:rPr>
                <w:rFonts w:cs="Arial"/>
                <w:szCs w:val="20"/>
              </w:rPr>
              <w:t>Cape York Employment</w:t>
            </w:r>
          </w:p>
        </w:tc>
        <w:tc>
          <w:tcPr>
            <w:tcW w:w="938" w:type="dxa"/>
            <w:tcBorders>
              <w:top w:val="nil"/>
              <w:left w:val="nil"/>
              <w:bottom w:val="single" w:sz="4" w:space="0" w:color="auto"/>
              <w:right w:val="single" w:sz="4" w:space="0" w:color="auto"/>
            </w:tcBorders>
            <w:noWrap/>
          </w:tcPr>
          <w:p w14:paraId="153D4F62" w14:textId="1BE0E9E4"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6C1B0D02" w14:textId="3B0D46B3" w:rsidR="0085416C" w:rsidRPr="00FC4B0F" w:rsidRDefault="0085416C" w:rsidP="0085416C">
            <w:pPr>
              <w:spacing w:beforeLines="20" w:before="48" w:afterLines="20" w:after="48" w:line="240" w:lineRule="auto"/>
              <w:jc w:val="right"/>
              <w:rPr>
                <w:rFonts w:cs="Arial"/>
                <w:szCs w:val="20"/>
              </w:rPr>
            </w:pPr>
            <w:r w:rsidRPr="00FC4B0F">
              <w:rPr>
                <w:rFonts w:cs="Arial"/>
                <w:szCs w:val="20"/>
              </w:rPr>
              <w:t>2</w:t>
            </w:r>
          </w:p>
        </w:tc>
        <w:tc>
          <w:tcPr>
            <w:tcW w:w="938" w:type="dxa"/>
            <w:tcBorders>
              <w:top w:val="nil"/>
              <w:left w:val="nil"/>
              <w:bottom w:val="single" w:sz="4" w:space="0" w:color="auto"/>
              <w:right w:val="single" w:sz="4" w:space="0" w:color="auto"/>
            </w:tcBorders>
            <w:noWrap/>
          </w:tcPr>
          <w:p w14:paraId="64CEFE95" w14:textId="41619B00" w:rsidR="0085416C" w:rsidRPr="00FC4B0F" w:rsidRDefault="0085416C" w:rsidP="0085416C">
            <w:pPr>
              <w:spacing w:beforeLines="20" w:before="48" w:afterLines="20" w:after="48" w:line="240" w:lineRule="auto"/>
              <w:jc w:val="right"/>
              <w:rPr>
                <w:rFonts w:cs="Arial"/>
                <w:szCs w:val="20"/>
              </w:rPr>
            </w:pPr>
            <w:r w:rsidRPr="00FC4B0F">
              <w:rPr>
                <w:rFonts w:cs="Arial"/>
                <w:szCs w:val="20"/>
              </w:rPr>
              <w:t>3</w:t>
            </w:r>
          </w:p>
        </w:tc>
        <w:tc>
          <w:tcPr>
            <w:tcW w:w="938" w:type="dxa"/>
            <w:tcBorders>
              <w:top w:val="nil"/>
              <w:left w:val="nil"/>
              <w:bottom w:val="single" w:sz="4" w:space="0" w:color="auto"/>
              <w:right w:val="single" w:sz="4" w:space="0" w:color="auto"/>
            </w:tcBorders>
            <w:noWrap/>
          </w:tcPr>
          <w:p w14:paraId="740999E1" w14:textId="60AF76D2" w:rsidR="0085416C" w:rsidRPr="00FC4B0F" w:rsidRDefault="0085416C" w:rsidP="0085416C">
            <w:pPr>
              <w:spacing w:beforeLines="20" w:before="48" w:afterLines="20" w:after="48" w:line="240" w:lineRule="auto"/>
              <w:jc w:val="right"/>
              <w:rPr>
                <w:rFonts w:cs="Arial"/>
                <w:szCs w:val="20"/>
              </w:rPr>
            </w:pPr>
            <w:r w:rsidRPr="00FC4B0F">
              <w:rPr>
                <w:rFonts w:cs="Arial"/>
                <w:szCs w:val="20"/>
              </w:rPr>
              <w:t>2</w:t>
            </w:r>
          </w:p>
        </w:tc>
        <w:tc>
          <w:tcPr>
            <w:tcW w:w="938" w:type="dxa"/>
            <w:tcBorders>
              <w:top w:val="nil"/>
              <w:left w:val="nil"/>
              <w:bottom w:val="single" w:sz="4" w:space="0" w:color="auto"/>
              <w:right w:val="single" w:sz="4" w:space="0" w:color="auto"/>
            </w:tcBorders>
            <w:vAlign w:val="bottom"/>
          </w:tcPr>
          <w:p w14:paraId="2F614154" w14:textId="0D3EC7E5"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7</w:t>
            </w:r>
          </w:p>
        </w:tc>
      </w:tr>
      <w:tr w:rsidR="0085416C" w:rsidRPr="00224AA8" w14:paraId="01B15D55"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3734C60B" w14:textId="2F4176B3" w:rsidR="0085416C" w:rsidRPr="00224AA8" w:rsidRDefault="0085416C" w:rsidP="0085416C">
            <w:pPr>
              <w:spacing w:beforeLines="20" w:before="48" w:afterLines="20" w:after="48" w:line="240" w:lineRule="auto"/>
              <w:rPr>
                <w:rFonts w:cs="Arial"/>
                <w:szCs w:val="20"/>
              </w:rPr>
            </w:pPr>
            <w:r>
              <w:rPr>
                <w:rFonts w:cs="Arial"/>
                <w:szCs w:val="20"/>
              </w:rPr>
              <w:t>Coen Regional Aboriginal Corporation</w:t>
            </w:r>
          </w:p>
        </w:tc>
        <w:tc>
          <w:tcPr>
            <w:tcW w:w="938" w:type="dxa"/>
            <w:tcBorders>
              <w:top w:val="nil"/>
              <w:left w:val="nil"/>
              <w:bottom w:val="single" w:sz="4" w:space="0" w:color="auto"/>
              <w:right w:val="single" w:sz="4" w:space="0" w:color="auto"/>
            </w:tcBorders>
            <w:noWrap/>
          </w:tcPr>
          <w:p w14:paraId="7E9E74E0" w14:textId="507E880A" w:rsidR="0085416C" w:rsidRPr="00FC4B0F" w:rsidRDefault="0085416C" w:rsidP="0085416C">
            <w:pPr>
              <w:spacing w:beforeLines="20" w:before="48" w:afterLines="20" w:after="48" w:line="240" w:lineRule="auto"/>
              <w:jc w:val="right"/>
              <w:rPr>
                <w:rFonts w:cs="Arial"/>
                <w:szCs w:val="20"/>
              </w:rPr>
            </w:pPr>
            <w:r w:rsidRPr="00FC4B0F">
              <w:rPr>
                <w:rFonts w:cs="Arial"/>
                <w:szCs w:val="20"/>
              </w:rPr>
              <w:t>1</w:t>
            </w:r>
          </w:p>
        </w:tc>
        <w:tc>
          <w:tcPr>
            <w:tcW w:w="938" w:type="dxa"/>
            <w:tcBorders>
              <w:top w:val="nil"/>
              <w:left w:val="nil"/>
              <w:bottom w:val="single" w:sz="4" w:space="0" w:color="auto"/>
              <w:right w:val="single" w:sz="4" w:space="0" w:color="auto"/>
            </w:tcBorders>
            <w:noWrap/>
          </w:tcPr>
          <w:p w14:paraId="1FF6B042" w14:textId="29E9A6FD" w:rsidR="0085416C" w:rsidRPr="00FC4B0F" w:rsidRDefault="0085416C" w:rsidP="0085416C">
            <w:pPr>
              <w:spacing w:beforeLines="20" w:before="48" w:afterLines="20" w:after="48" w:line="240" w:lineRule="auto"/>
              <w:jc w:val="right"/>
              <w:rPr>
                <w:rFonts w:cs="Arial"/>
                <w:szCs w:val="20"/>
              </w:rPr>
            </w:pPr>
            <w:r w:rsidRPr="00FC4B0F">
              <w:rPr>
                <w:rFonts w:cs="Arial"/>
                <w:szCs w:val="20"/>
              </w:rPr>
              <w:t>4</w:t>
            </w:r>
          </w:p>
        </w:tc>
        <w:tc>
          <w:tcPr>
            <w:tcW w:w="938" w:type="dxa"/>
            <w:tcBorders>
              <w:top w:val="nil"/>
              <w:left w:val="nil"/>
              <w:bottom w:val="single" w:sz="4" w:space="0" w:color="auto"/>
              <w:right w:val="single" w:sz="4" w:space="0" w:color="auto"/>
            </w:tcBorders>
            <w:noWrap/>
          </w:tcPr>
          <w:p w14:paraId="55D4A99E" w14:textId="44186C41" w:rsidR="0085416C" w:rsidRPr="00FC4B0F" w:rsidRDefault="0085416C" w:rsidP="0085416C">
            <w:pPr>
              <w:spacing w:beforeLines="20" w:before="48" w:afterLines="20" w:after="48" w:line="240" w:lineRule="auto"/>
              <w:jc w:val="right"/>
              <w:rPr>
                <w:rFonts w:cs="Arial"/>
                <w:szCs w:val="20"/>
              </w:rPr>
            </w:pPr>
            <w:r w:rsidRPr="00FC4B0F">
              <w:rPr>
                <w:rFonts w:cs="Arial"/>
                <w:szCs w:val="20"/>
              </w:rPr>
              <w:t>1</w:t>
            </w:r>
          </w:p>
        </w:tc>
        <w:tc>
          <w:tcPr>
            <w:tcW w:w="938" w:type="dxa"/>
            <w:tcBorders>
              <w:top w:val="nil"/>
              <w:left w:val="nil"/>
              <w:bottom w:val="single" w:sz="4" w:space="0" w:color="auto"/>
              <w:right w:val="single" w:sz="4" w:space="0" w:color="auto"/>
            </w:tcBorders>
            <w:noWrap/>
          </w:tcPr>
          <w:p w14:paraId="5A7C03D7" w14:textId="601315E5"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vAlign w:val="bottom"/>
          </w:tcPr>
          <w:p w14:paraId="62AC2918" w14:textId="3144E492"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6</w:t>
            </w:r>
          </w:p>
        </w:tc>
      </w:tr>
      <w:tr w:rsidR="0085416C" w:rsidRPr="00224AA8" w14:paraId="1A8FCD52"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0C5630AB" w14:textId="46A7D5D7" w:rsidR="0085416C" w:rsidRPr="00224AA8" w:rsidRDefault="0085416C" w:rsidP="0085416C">
            <w:pPr>
              <w:spacing w:beforeLines="20" w:before="48" w:afterLines="20" w:after="48" w:line="240" w:lineRule="auto"/>
              <w:rPr>
                <w:rFonts w:cs="Arial"/>
                <w:szCs w:val="20"/>
              </w:rPr>
            </w:pPr>
            <w:r>
              <w:rPr>
                <w:rFonts w:cs="Arial"/>
                <w:szCs w:val="20"/>
              </w:rPr>
              <w:t>Cooktown District Community Centre</w:t>
            </w:r>
          </w:p>
        </w:tc>
        <w:tc>
          <w:tcPr>
            <w:tcW w:w="938" w:type="dxa"/>
            <w:tcBorders>
              <w:top w:val="nil"/>
              <w:left w:val="nil"/>
              <w:bottom w:val="single" w:sz="4" w:space="0" w:color="auto"/>
              <w:right w:val="single" w:sz="4" w:space="0" w:color="auto"/>
            </w:tcBorders>
            <w:noWrap/>
          </w:tcPr>
          <w:p w14:paraId="6195B8BC" w14:textId="7856FCFF" w:rsidR="0085416C" w:rsidRPr="00FC4B0F" w:rsidRDefault="0085416C" w:rsidP="0085416C">
            <w:pPr>
              <w:spacing w:beforeLines="20" w:before="48" w:afterLines="20" w:after="48" w:line="240" w:lineRule="auto"/>
              <w:jc w:val="right"/>
              <w:rPr>
                <w:rFonts w:cs="Arial"/>
                <w:szCs w:val="20"/>
              </w:rPr>
            </w:pPr>
            <w:r w:rsidRPr="00FC4B0F">
              <w:rPr>
                <w:rFonts w:cs="Arial"/>
                <w:szCs w:val="20"/>
              </w:rPr>
              <w:t>8</w:t>
            </w:r>
          </w:p>
        </w:tc>
        <w:tc>
          <w:tcPr>
            <w:tcW w:w="938" w:type="dxa"/>
            <w:tcBorders>
              <w:top w:val="nil"/>
              <w:left w:val="nil"/>
              <w:bottom w:val="single" w:sz="4" w:space="0" w:color="auto"/>
              <w:right w:val="single" w:sz="4" w:space="0" w:color="auto"/>
            </w:tcBorders>
            <w:noWrap/>
          </w:tcPr>
          <w:p w14:paraId="47DCE000" w14:textId="4E37CE75" w:rsidR="0085416C" w:rsidRPr="00FC4B0F" w:rsidRDefault="0085416C" w:rsidP="0085416C">
            <w:pPr>
              <w:spacing w:beforeLines="20" w:before="48" w:afterLines="20" w:after="48" w:line="240" w:lineRule="auto"/>
              <w:jc w:val="right"/>
              <w:rPr>
                <w:rFonts w:cs="Arial"/>
                <w:szCs w:val="20"/>
              </w:rPr>
            </w:pPr>
            <w:r w:rsidRPr="00FC4B0F">
              <w:rPr>
                <w:rFonts w:cs="Arial"/>
                <w:szCs w:val="20"/>
              </w:rPr>
              <w:t>9</w:t>
            </w:r>
          </w:p>
        </w:tc>
        <w:tc>
          <w:tcPr>
            <w:tcW w:w="938" w:type="dxa"/>
            <w:tcBorders>
              <w:top w:val="nil"/>
              <w:left w:val="nil"/>
              <w:bottom w:val="single" w:sz="4" w:space="0" w:color="auto"/>
              <w:right w:val="single" w:sz="4" w:space="0" w:color="auto"/>
            </w:tcBorders>
            <w:noWrap/>
          </w:tcPr>
          <w:p w14:paraId="7F8A3723" w14:textId="4676BB10" w:rsidR="0085416C" w:rsidRPr="00FC4B0F" w:rsidRDefault="0085416C" w:rsidP="0085416C">
            <w:pPr>
              <w:spacing w:beforeLines="20" w:before="48" w:afterLines="20" w:after="48" w:line="240" w:lineRule="auto"/>
              <w:jc w:val="right"/>
              <w:rPr>
                <w:rFonts w:cs="Arial"/>
                <w:szCs w:val="20"/>
              </w:rPr>
            </w:pPr>
            <w:r w:rsidRPr="00FC4B0F">
              <w:rPr>
                <w:rFonts w:cs="Arial"/>
                <w:szCs w:val="20"/>
              </w:rPr>
              <w:t>9</w:t>
            </w:r>
          </w:p>
        </w:tc>
        <w:tc>
          <w:tcPr>
            <w:tcW w:w="938" w:type="dxa"/>
            <w:tcBorders>
              <w:top w:val="nil"/>
              <w:left w:val="nil"/>
              <w:bottom w:val="single" w:sz="4" w:space="0" w:color="auto"/>
              <w:right w:val="single" w:sz="4" w:space="0" w:color="auto"/>
            </w:tcBorders>
            <w:noWrap/>
          </w:tcPr>
          <w:p w14:paraId="7472436E" w14:textId="344BA317" w:rsidR="0085416C" w:rsidRPr="00FC4B0F" w:rsidRDefault="0085416C" w:rsidP="0085416C">
            <w:pPr>
              <w:spacing w:beforeLines="20" w:before="48" w:afterLines="20" w:after="48" w:line="240" w:lineRule="auto"/>
              <w:jc w:val="right"/>
              <w:rPr>
                <w:rFonts w:cs="Arial"/>
                <w:szCs w:val="20"/>
              </w:rPr>
            </w:pPr>
            <w:r w:rsidRPr="00FC4B0F">
              <w:rPr>
                <w:rFonts w:cs="Arial"/>
                <w:szCs w:val="20"/>
              </w:rPr>
              <w:t>10</w:t>
            </w:r>
          </w:p>
        </w:tc>
        <w:tc>
          <w:tcPr>
            <w:tcW w:w="938" w:type="dxa"/>
            <w:tcBorders>
              <w:top w:val="nil"/>
              <w:left w:val="nil"/>
              <w:bottom w:val="single" w:sz="4" w:space="0" w:color="auto"/>
              <w:right w:val="single" w:sz="4" w:space="0" w:color="auto"/>
            </w:tcBorders>
            <w:vAlign w:val="bottom"/>
          </w:tcPr>
          <w:p w14:paraId="5E91CDC4" w14:textId="5CF3DE80"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36</w:t>
            </w:r>
          </w:p>
        </w:tc>
      </w:tr>
      <w:tr w:rsidR="0085416C" w:rsidRPr="00224AA8" w14:paraId="62750D51"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19C47299" w14:textId="63038678" w:rsidR="0085416C" w:rsidRPr="00224AA8" w:rsidRDefault="0085416C" w:rsidP="0085416C">
            <w:pPr>
              <w:spacing w:beforeLines="20" w:before="48" w:afterLines="20" w:after="48" w:line="240" w:lineRule="auto"/>
              <w:rPr>
                <w:rFonts w:cs="Arial"/>
                <w:szCs w:val="20"/>
              </w:rPr>
            </w:pPr>
            <w:r>
              <w:rPr>
                <w:rFonts w:cs="Arial"/>
                <w:szCs w:val="20"/>
              </w:rPr>
              <w:t>Gungarde (Family Wellbeing Services)</w:t>
            </w:r>
          </w:p>
        </w:tc>
        <w:tc>
          <w:tcPr>
            <w:tcW w:w="938" w:type="dxa"/>
            <w:tcBorders>
              <w:top w:val="nil"/>
              <w:left w:val="nil"/>
              <w:bottom w:val="single" w:sz="4" w:space="0" w:color="auto"/>
              <w:right w:val="single" w:sz="4" w:space="0" w:color="auto"/>
            </w:tcBorders>
            <w:noWrap/>
          </w:tcPr>
          <w:p w14:paraId="206D06B7" w14:textId="5D1C4E6A"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11A757A0" w14:textId="6CAEC194" w:rsidR="0085416C" w:rsidRPr="00FC4B0F" w:rsidRDefault="0085416C" w:rsidP="0085416C">
            <w:pPr>
              <w:spacing w:beforeLines="20" w:before="48" w:afterLines="20" w:after="48" w:line="240" w:lineRule="auto"/>
              <w:jc w:val="right"/>
              <w:rPr>
                <w:rFonts w:cs="Arial"/>
                <w:szCs w:val="20"/>
              </w:rPr>
            </w:pPr>
            <w:r w:rsidRPr="00FC4B0F">
              <w:rPr>
                <w:rFonts w:cs="Arial"/>
                <w:szCs w:val="20"/>
              </w:rPr>
              <w:t>1</w:t>
            </w:r>
          </w:p>
        </w:tc>
        <w:tc>
          <w:tcPr>
            <w:tcW w:w="938" w:type="dxa"/>
            <w:tcBorders>
              <w:top w:val="nil"/>
              <w:left w:val="nil"/>
              <w:bottom w:val="single" w:sz="4" w:space="0" w:color="auto"/>
              <w:right w:val="single" w:sz="4" w:space="0" w:color="auto"/>
            </w:tcBorders>
            <w:noWrap/>
          </w:tcPr>
          <w:p w14:paraId="5BD950FE" w14:textId="0496E918" w:rsidR="0085416C" w:rsidRPr="00FC4B0F" w:rsidRDefault="0085416C" w:rsidP="0085416C">
            <w:pPr>
              <w:spacing w:beforeLines="20" w:before="48" w:afterLines="20" w:after="48" w:line="240" w:lineRule="auto"/>
              <w:jc w:val="right"/>
              <w:rPr>
                <w:rFonts w:cs="Arial"/>
                <w:szCs w:val="20"/>
              </w:rPr>
            </w:pPr>
            <w:r w:rsidRPr="00FC4B0F">
              <w:rPr>
                <w:rFonts w:cs="Arial"/>
                <w:szCs w:val="20"/>
              </w:rPr>
              <w:t>1</w:t>
            </w:r>
          </w:p>
        </w:tc>
        <w:tc>
          <w:tcPr>
            <w:tcW w:w="938" w:type="dxa"/>
            <w:tcBorders>
              <w:top w:val="nil"/>
              <w:left w:val="nil"/>
              <w:bottom w:val="single" w:sz="4" w:space="0" w:color="auto"/>
              <w:right w:val="single" w:sz="4" w:space="0" w:color="auto"/>
            </w:tcBorders>
            <w:noWrap/>
          </w:tcPr>
          <w:p w14:paraId="3B04FF22" w14:textId="36A47E85" w:rsidR="0085416C" w:rsidRPr="00FC4B0F" w:rsidRDefault="0085416C" w:rsidP="0085416C">
            <w:pPr>
              <w:spacing w:beforeLines="20" w:before="48" w:afterLines="20" w:after="48" w:line="240" w:lineRule="auto"/>
              <w:jc w:val="right"/>
              <w:rPr>
                <w:rFonts w:cs="Arial"/>
                <w:szCs w:val="20"/>
              </w:rPr>
            </w:pPr>
            <w:r w:rsidRPr="00FC4B0F">
              <w:rPr>
                <w:rFonts w:cs="Arial"/>
                <w:szCs w:val="20"/>
              </w:rPr>
              <w:t>2</w:t>
            </w:r>
          </w:p>
        </w:tc>
        <w:tc>
          <w:tcPr>
            <w:tcW w:w="938" w:type="dxa"/>
            <w:tcBorders>
              <w:top w:val="nil"/>
              <w:left w:val="nil"/>
              <w:bottom w:val="single" w:sz="4" w:space="0" w:color="auto"/>
              <w:right w:val="single" w:sz="4" w:space="0" w:color="auto"/>
            </w:tcBorders>
            <w:vAlign w:val="bottom"/>
          </w:tcPr>
          <w:p w14:paraId="49BC938B" w14:textId="2A4EEEF1"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4</w:t>
            </w:r>
          </w:p>
        </w:tc>
      </w:tr>
      <w:tr w:rsidR="0085416C" w:rsidRPr="00224AA8" w14:paraId="209330B1"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3F8CC3C1" w14:textId="4F3E9282" w:rsidR="0085416C" w:rsidRPr="00224AA8" w:rsidRDefault="0085416C" w:rsidP="0085416C">
            <w:pPr>
              <w:spacing w:beforeLines="20" w:before="48" w:afterLines="20" w:after="48" w:line="240" w:lineRule="auto"/>
              <w:rPr>
                <w:rFonts w:cs="Arial"/>
                <w:szCs w:val="20"/>
              </w:rPr>
            </w:pPr>
            <w:r>
              <w:rPr>
                <w:rFonts w:cs="Arial"/>
                <w:szCs w:val="20"/>
              </w:rPr>
              <w:t>Mossman Elders Justice Group</w:t>
            </w:r>
          </w:p>
        </w:tc>
        <w:tc>
          <w:tcPr>
            <w:tcW w:w="938" w:type="dxa"/>
            <w:tcBorders>
              <w:top w:val="nil"/>
              <w:left w:val="nil"/>
              <w:bottom w:val="single" w:sz="4" w:space="0" w:color="auto"/>
              <w:right w:val="single" w:sz="4" w:space="0" w:color="auto"/>
            </w:tcBorders>
            <w:noWrap/>
          </w:tcPr>
          <w:p w14:paraId="163E8919" w14:textId="1D7E9C82"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781E5095" w14:textId="46DE67E9" w:rsidR="0085416C" w:rsidRPr="00FC4B0F" w:rsidRDefault="0085416C" w:rsidP="0085416C">
            <w:pPr>
              <w:spacing w:beforeLines="20" w:before="48" w:afterLines="20" w:after="48" w:line="240" w:lineRule="auto"/>
              <w:jc w:val="right"/>
              <w:rPr>
                <w:rFonts w:cs="Arial"/>
                <w:szCs w:val="20"/>
              </w:rPr>
            </w:pPr>
            <w:r w:rsidRPr="00FC4B0F">
              <w:rPr>
                <w:rFonts w:cs="Arial"/>
                <w:szCs w:val="20"/>
              </w:rPr>
              <w:t>3</w:t>
            </w:r>
          </w:p>
        </w:tc>
        <w:tc>
          <w:tcPr>
            <w:tcW w:w="938" w:type="dxa"/>
            <w:tcBorders>
              <w:top w:val="nil"/>
              <w:left w:val="nil"/>
              <w:bottom w:val="single" w:sz="4" w:space="0" w:color="auto"/>
              <w:right w:val="single" w:sz="4" w:space="0" w:color="auto"/>
            </w:tcBorders>
            <w:noWrap/>
          </w:tcPr>
          <w:p w14:paraId="3E064F6D" w14:textId="414CE474"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1321E6A3" w14:textId="17160832"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vAlign w:val="bottom"/>
          </w:tcPr>
          <w:p w14:paraId="1699AD1F" w14:textId="4E684991"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3</w:t>
            </w:r>
          </w:p>
        </w:tc>
      </w:tr>
      <w:tr w:rsidR="0085416C" w:rsidRPr="00224AA8" w14:paraId="7B01200F"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49BFB324" w14:textId="1E2F45F6" w:rsidR="0085416C" w:rsidRPr="00224AA8" w:rsidRDefault="0085416C" w:rsidP="0085416C">
            <w:pPr>
              <w:spacing w:beforeLines="20" w:before="48" w:afterLines="20" w:after="48" w:line="240" w:lineRule="auto"/>
              <w:rPr>
                <w:rFonts w:cs="Arial"/>
                <w:szCs w:val="20"/>
              </w:rPr>
            </w:pPr>
            <w:r>
              <w:rPr>
                <w:rFonts w:cs="Arial"/>
                <w:szCs w:val="20"/>
              </w:rPr>
              <w:t>Mossman Support Services</w:t>
            </w:r>
          </w:p>
        </w:tc>
        <w:tc>
          <w:tcPr>
            <w:tcW w:w="938" w:type="dxa"/>
            <w:tcBorders>
              <w:top w:val="nil"/>
              <w:left w:val="nil"/>
              <w:bottom w:val="single" w:sz="4" w:space="0" w:color="auto"/>
              <w:right w:val="single" w:sz="4" w:space="0" w:color="auto"/>
            </w:tcBorders>
            <w:noWrap/>
          </w:tcPr>
          <w:p w14:paraId="5A4858CC" w14:textId="7028D8C3"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24837974" w14:textId="1A6B0717"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62D72DD5" w14:textId="557016DD"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74062449" w14:textId="0CB45CB9" w:rsidR="0085416C" w:rsidRPr="00FC4B0F" w:rsidRDefault="0085416C" w:rsidP="0085416C">
            <w:pPr>
              <w:spacing w:beforeLines="20" w:before="48" w:afterLines="20" w:after="48" w:line="240" w:lineRule="auto"/>
              <w:jc w:val="right"/>
              <w:rPr>
                <w:rFonts w:cs="Arial"/>
                <w:szCs w:val="20"/>
              </w:rPr>
            </w:pPr>
            <w:r w:rsidRPr="00FC4B0F">
              <w:rPr>
                <w:rFonts w:cs="Arial"/>
                <w:szCs w:val="20"/>
              </w:rPr>
              <w:t>2</w:t>
            </w:r>
          </w:p>
        </w:tc>
        <w:tc>
          <w:tcPr>
            <w:tcW w:w="938" w:type="dxa"/>
            <w:tcBorders>
              <w:top w:val="nil"/>
              <w:left w:val="nil"/>
              <w:bottom w:val="single" w:sz="4" w:space="0" w:color="auto"/>
              <w:right w:val="single" w:sz="4" w:space="0" w:color="auto"/>
            </w:tcBorders>
            <w:vAlign w:val="bottom"/>
          </w:tcPr>
          <w:p w14:paraId="2AAAF18B" w14:textId="3F6097FF"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2</w:t>
            </w:r>
          </w:p>
        </w:tc>
      </w:tr>
      <w:tr w:rsidR="0085416C" w:rsidRPr="00224AA8" w14:paraId="120FCCBB"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7537D2FC" w14:textId="4A525087" w:rsidR="0085416C" w:rsidRPr="00224AA8" w:rsidRDefault="0085416C" w:rsidP="0085416C">
            <w:pPr>
              <w:spacing w:beforeLines="20" w:before="48" w:afterLines="20" w:after="48" w:line="240" w:lineRule="auto"/>
              <w:rPr>
                <w:rFonts w:cs="Arial"/>
                <w:szCs w:val="20"/>
              </w:rPr>
            </w:pPr>
            <w:r>
              <w:rPr>
                <w:rFonts w:cs="Arial"/>
                <w:szCs w:val="20"/>
              </w:rPr>
              <w:t>MPower</w:t>
            </w:r>
          </w:p>
        </w:tc>
        <w:tc>
          <w:tcPr>
            <w:tcW w:w="938" w:type="dxa"/>
            <w:tcBorders>
              <w:top w:val="nil"/>
              <w:left w:val="nil"/>
              <w:bottom w:val="single" w:sz="4" w:space="0" w:color="auto"/>
              <w:right w:val="single" w:sz="4" w:space="0" w:color="auto"/>
            </w:tcBorders>
            <w:noWrap/>
          </w:tcPr>
          <w:p w14:paraId="79A61158" w14:textId="31F52015" w:rsidR="0085416C" w:rsidRPr="00FC4B0F" w:rsidRDefault="0085416C" w:rsidP="0085416C">
            <w:pPr>
              <w:spacing w:beforeLines="20" w:before="48" w:afterLines="20" w:after="48" w:line="240" w:lineRule="auto"/>
              <w:jc w:val="right"/>
              <w:rPr>
                <w:rFonts w:cs="Arial"/>
                <w:szCs w:val="20"/>
              </w:rPr>
            </w:pPr>
            <w:r w:rsidRPr="00FC4B0F">
              <w:rPr>
                <w:rFonts w:cs="Arial"/>
                <w:szCs w:val="20"/>
              </w:rPr>
              <w:t>8</w:t>
            </w:r>
          </w:p>
        </w:tc>
        <w:tc>
          <w:tcPr>
            <w:tcW w:w="938" w:type="dxa"/>
            <w:tcBorders>
              <w:top w:val="nil"/>
              <w:left w:val="nil"/>
              <w:bottom w:val="single" w:sz="4" w:space="0" w:color="auto"/>
              <w:right w:val="single" w:sz="4" w:space="0" w:color="auto"/>
            </w:tcBorders>
            <w:noWrap/>
          </w:tcPr>
          <w:p w14:paraId="72F44A49" w14:textId="5E12FBFA" w:rsidR="0085416C" w:rsidRPr="00FC4B0F" w:rsidRDefault="0085416C" w:rsidP="0085416C">
            <w:pPr>
              <w:spacing w:beforeLines="20" w:before="48" w:afterLines="20" w:after="48" w:line="240" w:lineRule="auto"/>
              <w:jc w:val="right"/>
              <w:rPr>
                <w:rFonts w:cs="Arial"/>
                <w:szCs w:val="20"/>
              </w:rPr>
            </w:pPr>
            <w:r w:rsidRPr="00FC4B0F">
              <w:rPr>
                <w:rFonts w:cs="Arial"/>
                <w:szCs w:val="20"/>
              </w:rPr>
              <w:t>17</w:t>
            </w:r>
          </w:p>
        </w:tc>
        <w:tc>
          <w:tcPr>
            <w:tcW w:w="938" w:type="dxa"/>
            <w:tcBorders>
              <w:top w:val="nil"/>
              <w:left w:val="nil"/>
              <w:bottom w:val="single" w:sz="4" w:space="0" w:color="auto"/>
              <w:right w:val="single" w:sz="4" w:space="0" w:color="auto"/>
            </w:tcBorders>
            <w:noWrap/>
          </w:tcPr>
          <w:p w14:paraId="20D2D353" w14:textId="1B383469" w:rsidR="0085416C" w:rsidRPr="00FC4B0F" w:rsidRDefault="0085416C" w:rsidP="0085416C">
            <w:pPr>
              <w:spacing w:beforeLines="20" w:before="48" w:afterLines="20" w:after="48" w:line="240" w:lineRule="auto"/>
              <w:jc w:val="right"/>
              <w:rPr>
                <w:rFonts w:cs="Arial"/>
                <w:szCs w:val="20"/>
              </w:rPr>
            </w:pPr>
            <w:r w:rsidRPr="00FC4B0F">
              <w:rPr>
                <w:rFonts w:cs="Arial"/>
                <w:szCs w:val="20"/>
              </w:rPr>
              <w:t>10</w:t>
            </w:r>
          </w:p>
        </w:tc>
        <w:tc>
          <w:tcPr>
            <w:tcW w:w="938" w:type="dxa"/>
            <w:tcBorders>
              <w:top w:val="nil"/>
              <w:left w:val="nil"/>
              <w:bottom w:val="single" w:sz="4" w:space="0" w:color="auto"/>
              <w:right w:val="single" w:sz="4" w:space="0" w:color="auto"/>
            </w:tcBorders>
            <w:noWrap/>
          </w:tcPr>
          <w:p w14:paraId="5301D3EB" w14:textId="5A4360B8" w:rsidR="0085416C" w:rsidRPr="00FC4B0F" w:rsidRDefault="0085416C" w:rsidP="0085416C">
            <w:pPr>
              <w:spacing w:beforeLines="20" w:before="48" w:afterLines="20" w:after="48" w:line="240" w:lineRule="auto"/>
              <w:jc w:val="right"/>
              <w:rPr>
                <w:rFonts w:cs="Arial"/>
                <w:szCs w:val="20"/>
              </w:rPr>
            </w:pPr>
            <w:r w:rsidRPr="00FC4B0F">
              <w:rPr>
                <w:rFonts w:cs="Arial"/>
                <w:szCs w:val="20"/>
              </w:rPr>
              <w:t>11</w:t>
            </w:r>
          </w:p>
        </w:tc>
        <w:tc>
          <w:tcPr>
            <w:tcW w:w="938" w:type="dxa"/>
            <w:tcBorders>
              <w:top w:val="nil"/>
              <w:left w:val="nil"/>
              <w:bottom w:val="single" w:sz="4" w:space="0" w:color="auto"/>
              <w:right w:val="single" w:sz="4" w:space="0" w:color="auto"/>
            </w:tcBorders>
            <w:vAlign w:val="bottom"/>
          </w:tcPr>
          <w:p w14:paraId="082BC421" w14:textId="398CFA3E"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46</w:t>
            </w:r>
          </w:p>
        </w:tc>
      </w:tr>
      <w:tr w:rsidR="0085416C" w:rsidRPr="00224AA8" w14:paraId="1FF6F65D"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032DD1E4" w14:textId="3995A1A5" w:rsidR="0085416C" w:rsidRPr="00224AA8" w:rsidRDefault="0085416C" w:rsidP="0085416C">
            <w:pPr>
              <w:spacing w:beforeLines="20" w:before="48" w:afterLines="20" w:after="48" w:line="240" w:lineRule="auto"/>
              <w:rPr>
                <w:rFonts w:cs="Arial"/>
                <w:szCs w:val="20"/>
              </w:rPr>
            </w:pPr>
            <w:r>
              <w:rPr>
                <w:rFonts w:cs="Arial"/>
                <w:szCs w:val="20"/>
              </w:rPr>
              <w:t>My Pathway</w:t>
            </w:r>
          </w:p>
        </w:tc>
        <w:tc>
          <w:tcPr>
            <w:tcW w:w="938" w:type="dxa"/>
            <w:tcBorders>
              <w:top w:val="nil"/>
              <w:left w:val="nil"/>
              <w:bottom w:val="single" w:sz="4" w:space="0" w:color="auto"/>
              <w:right w:val="single" w:sz="4" w:space="0" w:color="auto"/>
            </w:tcBorders>
            <w:noWrap/>
          </w:tcPr>
          <w:p w14:paraId="0FD9D4E6" w14:textId="59226A75" w:rsidR="0085416C" w:rsidRPr="00FC4B0F" w:rsidRDefault="0085416C" w:rsidP="0085416C">
            <w:pPr>
              <w:spacing w:beforeLines="20" w:before="48" w:afterLines="20" w:after="48" w:line="240" w:lineRule="auto"/>
              <w:jc w:val="right"/>
              <w:rPr>
                <w:rFonts w:cs="Arial"/>
                <w:szCs w:val="20"/>
              </w:rPr>
            </w:pPr>
            <w:r w:rsidRPr="00FC4B0F">
              <w:rPr>
                <w:rFonts w:cs="Arial"/>
                <w:szCs w:val="20"/>
              </w:rPr>
              <w:t>1</w:t>
            </w:r>
          </w:p>
        </w:tc>
        <w:tc>
          <w:tcPr>
            <w:tcW w:w="938" w:type="dxa"/>
            <w:tcBorders>
              <w:top w:val="nil"/>
              <w:left w:val="nil"/>
              <w:bottom w:val="single" w:sz="4" w:space="0" w:color="auto"/>
              <w:right w:val="single" w:sz="4" w:space="0" w:color="auto"/>
            </w:tcBorders>
            <w:noWrap/>
          </w:tcPr>
          <w:p w14:paraId="32C93075" w14:textId="72F98A00"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6B54CC1F" w14:textId="4FB4A3A4" w:rsidR="0085416C" w:rsidRPr="00FC4B0F" w:rsidRDefault="0085416C" w:rsidP="0085416C">
            <w:pPr>
              <w:spacing w:beforeLines="20" w:before="48" w:afterLines="20" w:after="48" w:line="240" w:lineRule="auto"/>
              <w:jc w:val="right"/>
              <w:rPr>
                <w:rFonts w:cs="Arial"/>
                <w:szCs w:val="20"/>
              </w:rPr>
            </w:pPr>
            <w:r w:rsidRPr="00FC4B0F">
              <w:rPr>
                <w:rFonts w:cs="Arial"/>
                <w:szCs w:val="20"/>
              </w:rPr>
              <w:t>1</w:t>
            </w:r>
          </w:p>
        </w:tc>
        <w:tc>
          <w:tcPr>
            <w:tcW w:w="938" w:type="dxa"/>
            <w:tcBorders>
              <w:top w:val="nil"/>
              <w:left w:val="nil"/>
              <w:bottom w:val="single" w:sz="4" w:space="0" w:color="auto"/>
              <w:right w:val="single" w:sz="4" w:space="0" w:color="auto"/>
            </w:tcBorders>
            <w:noWrap/>
          </w:tcPr>
          <w:p w14:paraId="2F27B660" w14:textId="173BE9F2"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vAlign w:val="bottom"/>
          </w:tcPr>
          <w:p w14:paraId="218C571F" w14:textId="13FFB313"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2</w:t>
            </w:r>
          </w:p>
        </w:tc>
      </w:tr>
      <w:tr w:rsidR="0085416C" w:rsidRPr="00224AA8" w14:paraId="150E2339"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605606CE" w14:textId="4A399675" w:rsidR="0085416C" w:rsidRPr="00224AA8" w:rsidRDefault="0085416C" w:rsidP="0085416C">
            <w:pPr>
              <w:spacing w:beforeLines="20" w:before="48" w:afterLines="20" w:after="48" w:line="240" w:lineRule="auto"/>
              <w:rPr>
                <w:rFonts w:cs="Arial"/>
                <w:szCs w:val="20"/>
              </w:rPr>
            </w:pPr>
            <w:r w:rsidRPr="001136AD">
              <w:rPr>
                <w:rFonts w:cs="Arial"/>
                <w:szCs w:val="20"/>
              </w:rPr>
              <w:t>RAATSICC</w:t>
            </w:r>
          </w:p>
        </w:tc>
        <w:tc>
          <w:tcPr>
            <w:tcW w:w="938" w:type="dxa"/>
            <w:tcBorders>
              <w:top w:val="nil"/>
              <w:left w:val="nil"/>
              <w:bottom w:val="single" w:sz="4" w:space="0" w:color="auto"/>
              <w:right w:val="single" w:sz="4" w:space="0" w:color="auto"/>
            </w:tcBorders>
            <w:noWrap/>
          </w:tcPr>
          <w:p w14:paraId="5F4FEF71" w14:textId="2C0928A0"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18A19D64" w14:textId="1B66725F"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0B1FC8EB" w14:textId="2A78E945"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5D6B8CB4" w14:textId="53D8E32F" w:rsidR="0085416C" w:rsidRPr="00FC4B0F" w:rsidRDefault="0085416C" w:rsidP="0085416C">
            <w:pPr>
              <w:spacing w:beforeLines="20" w:before="48" w:afterLines="20" w:after="48" w:line="240" w:lineRule="auto"/>
              <w:jc w:val="right"/>
              <w:rPr>
                <w:rFonts w:cs="Arial"/>
                <w:szCs w:val="20"/>
              </w:rPr>
            </w:pPr>
            <w:r w:rsidRPr="00FC4B0F">
              <w:rPr>
                <w:rFonts w:cs="Arial"/>
                <w:szCs w:val="20"/>
              </w:rPr>
              <w:t>2</w:t>
            </w:r>
          </w:p>
        </w:tc>
        <w:tc>
          <w:tcPr>
            <w:tcW w:w="938" w:type="dxa"/>
            <w:tcBorders>
              <w:top w:val="nil"/>
              <w:left w:val="nil"/>
              <w:bottom w:val="single" w:sz="4" w:space="0" w:color="auto"/>
              <w:right w:val="single" w:sz="4" w:space="0" w:color="auto"/>
            </w:tcBorders>
            <w:vAlign w:val="bottom"/>
          </w:tcPr>
          <w:p w14:paraId="0201AB1D" w14:textId="359083C9"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2</w:t>
            </w:r>
          </w:p>
        </w:tc>
      </w:tr>
      <w:tr w:rsidR="0085416C" w:rsidRPr="00224AA8" w14:paraId="44239DED"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5A69F136" w14:textId="56EFFAC8" w:rsidR="0085416C" w:rsidRPr="00224AA8" w:rsidRDefault="0085416C" w:rsidP="0085416C">
            <w:pPr>
              <w:spacing w:beforeLines="20" w:before="48" w:afterLines="20" w:after="48" w:line="240" w:lineRule="auto"/>
              <w:rPr>
                <w:rFonts w:cs="Arial"/>
                <w:szCs w:val="20"/>
              </w:rPr>
            </w:pPr>
            <w:r>
              <w:rPr>
                <w:rFonts w:cs="Arial"/>
                <w:szCs w:val="20"/>
              </w:rPr>
              <w:t>Royal Flying Doctor Service</w:t>
            </w:r>
          </w:p>
        </w:tc>
        <w:tc>
          <w:tcPr>
            <w:tcW w:w="938" w:type="dxa"/>
            <w:tcBorders>
              <w:top w:val="nil"/>
              <w:left w:val="nil"/>
              <w:bottom w:val="single" w:sz="4" w:space="0" w:color="auto"/>
              <w:right w:val="single" w:sz="4" w:space="0" w:color="auto"/>
            </w:tcBorders>
            <w:noWrap/>
          </w:tcPr>
          <w:p w14:paraId="2D579B9B" w14:textId="4BA04DBC"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14F94DDF" w14:textId="3E925C5E"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3B2D1F35" w14:textId="45885360" w:rsidR="0085416C" w:rsidRPr="00FC4B0F" w:rsidRDefault="0085416C" w:rsidP="0085416C">
            <w:pPr>
              <w:spacing w:beforeLines="20" w:before="48" w:afterLines="20" w:after="48" w:line="240" w:lineRule="auto"/>
              <w:jc w:val="right"/>
              <w:rPr>
                <w:rFonts w:cs="Arial"/>
                <w:szCs w:val="20"/>
              </w:rPr>
            </w:pPr>
            <w:r w:rsidRPr="00FC4B0F">
              <w:rPr>
                <w:rFonts w:cs="Arial"/>
                <w:szCs w:val="20"/>
              </w:rPr>
              <w:t>1</w:t>
            </w:r>
          </w:p>
        </w:tc>
        <w:tc>
          <w:tcPr>
            <w:tcW w:w="938" w:type="dxa"/>
            <w:tcBorders>
              <w:top w:val="nil"/>
              <w:left w:val="nil"/>
              <w:bottom w:val="single" w:sz="4" w:space="0" w:color="auto"/>
              <w:right w:val="single" w:sz="4" w:space="0" w:color="auto"/>
            </w:tcBorders>
            <w:noWrap/>
          </w:tcPr>
          <w:p w14:paraId="4D12FAC3" w14:textId="2AF461C1" w:rsidR="0085416C" w:rsidRPr="00FC4B0F" w:rsidRDefault="0085416C" w:rsidP="0085416C">
            <w:pPr>
              <w:spacing w:beforeLines="20" w:before="48" w:afterLines="20" w:after="48" w:line="240" w:lineRule="auto"/>
              <w:jc w:val="right"/>
              <w:rPr>
                <w:rFonts w:cs="Arial"/>
                <w:szCs w:val="20"/>
              </w:rPr>
            </w:pPr>
            <w:r w:rsidRPr="00FC4B0F">
              <w:rPr>
                <w:rFonts w:cs="Arial"/>
                <w:szCs w:val="20"/>
              </w:rPr>
              <w:t>1</w:t>
            </w:r>
          </w:p>
        </w:tc>
        <w:tc>
          <w:tcPr>
            <w:tcW w:w="938" w:type="dxa"/>
            <w:tcBorders>
              <w:top w:val="nil"/>
              <w:left w:val="nil"/>
              <w:bottom w:val="single" w:sz="4" w:space="0" w:color="auto"/>
              <w:right w:val="single" w:sz="4" w:space="0" w:color="auto"/>
            </w:tcBorders>
            <w:vAlign w:val="bottom"/>
          </w:tcPr>
          <w:p w14:paraId="6C2AE1C1" w14:textId="30612497"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2</w:t>
            </w:r>
          </w:p>
        </w:tc>
      </w:tr>
      <w:tr w:rsidR="0085416C" w:rsidRPr="00224AA8" w14:paraId="7D6323E4"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256E6DD5" w14:textId="4A3C9D21" w:rsidR="0085416C" w:rsidRPr="00224AA8" w:rsidRDefault="0085416C" w:rsidP="0085416C">
            <w:pPr>
              <w:spacing w:beforeLines="20" w:before="48" w:afterLines="20" w:after="48" w:line="240" w:lineRule="auto"/>
              <w:rPr>
                <w:rFonts w:cs="Arial"/>
                <w:szCs w:val="20"/>
              </w:rPr>
            </w:pPr>
            <w:r>
              <w:rPr>
                <w:rFonts w:cs="Arial"/>
                <w:szCs w:val="20"/>
              </w:rPr>
              <w:t>54 Reasons/Save the Children</w:t>
            </w:r>
          </w:p>
        </w:tc>
        <w:tc>
          <w:tcPr>
            <w:tcW w:w="938" w:type="dxa"/>
            <w:tcBorders>
              <w:top w:val="nil"/>
              <w:left w:val="nil"/>
              <w:bottom w:val="single" w:sz="4" w:space="0" w:color="auto"/>
              <w:right w:val="single" w:sz="4" w:space="0" w:color="auto"/>
            </w:tcBorders>
            <w:noWrap/>
          </w:tcPr>
          <w:p w14:paraId="18784AF7" w14:textId="42F4C74A" w:rsidR="0085416C" w:rsidRPr="00FC4B0F" w:rsidRDefault="0085416C" w:rsidP="0085416C">
            <w:pPr>
              <w:spacing w:beforeLines="20" w:before="48" w:afterLines="20" w:after="48" w:line="240" w:lineRule="auto"/>
              <w:jc w:val="right"/>
              <w:rPr>
                <w:rFonts w:cs="Arial"/>
                <w:szCs w:val="20"/>
              </w:rPr>
            </w:pPr>
            <w:r w:rsidRPr="00FC4B0F">
              <w:rPr>
                <w:rFonts w:cs="Arial"/>
                <w:szCs w:val="20"/>
              </w:rPr>
              <w:t>0</w:t>
            </w:r>
          </w:p>
        </w:tc>
        <w:tc>
          <w:tcPr>
            <w:tcW w:w="938" w:type="dxa"/>
            <w:tcBorders>
              <w:top w:val="nil"/>
              <w:left w:val="nil"/>
              <w:bottom w:val="single" w:sz="4" w:space="0" w:color="auto"/>
              <w:right w:val="single" w:sz="4" w:space="0" w:color="auto"/>
            </w:tcBorders>
            <w:noWrap/>
          </w:tcPr>
          <w:p w14:paraId="59E09D40" w14:textId="41DE0228" w:rsidR="0085416C" w:rsidRPr="00FC4B0F" w:rsidRDefault="0085416C" w:rsidP="0085416C">
            <w:pPr>
              <w:spacing w:beforeLines="20" w:before="48" w:afterLines="20" w:after="48" w:line="240" w:lineRule="auto"/>
              <w:jc w:val="right"/>
              <w:rPr>
                <w:rFonts w:cs="Arial"/>
                <w:szCs w:val="20"/>
              </w:rPr>
            </w:pPr>
            <w:r w:rsidRPr="00FC4B0F">
              <w:rPr>
                <w:rFonts w:cs="Arial"/>
                <w:szCs w:val="20"/>
              </w:rPr>
              <w:t>5</w:t>
            </w:r>
          </w:p>
        </w:tc>
        <w:tc>
          <w:tcPr>
            <w:tcW w:w="938" w:type="dxa"/>
            <w:tcBorders>
              <w:top w:val="nil"/>
              <w:left w:val="nil"/>
              <w:bottom w:val="single" w:sz="4" w:space="0" w:color="auto"/>
              <w:right w:val="single" w:sz="4" w:space="0" w:color="auto"/>
            </w:tcBorders>
            <w:noWrap/>
          </w:tcPr>
          <w:p w14:paraId="18FD90F2" w14:textId="5903E13C" w:rsidR="0085416C" w:rsidRPr="00FC4B0F" w:rsidRDefault="0085416C" w:rsidP="0085416C">
            <w:pPr>
              <w:spacing w:beforeLines="20" w:before="48" w:afterLines="20" w:after="48" w:line="240" w:lineRule="auto"/>
              <w:jc w:val="right"/>
              <w:rPr>
                <w:rFonts w:cs="Arial"/>
                <w:szCs w:val="20"/>
              </w:rPr>
            </w:pPr>
            <w:r w:rsidRPr="00FC4B0F">
              <w:rPr>
                <w:rFonts w:cs="Arial"/>
                <w:szCs w:val="20"/>
              </w:rPr>
              <w:t>5</w:t>
            </w:r>
          </w:p>
        </w:tc>
        <w:tc>
          <w:tcPr>
            <w:tcW w:w="938" w:type="dxa"/>
            <w:tcBorders>
              <w:top w:val="nil"/>
              <w:left w:val="nil"/>
              <w:bottom w:val="single" w:sz="4" w:space="0" w:color="auto"/>
              <w:right w:val="single" w:sz="4" w:space="0" w:color="auto"/>
            </w:tcBorders>
            <w:noWrap/>
          </w:tcPr>
          <w:p w14:paraId="52AE4E95" w14:textId="53126143" w:rsidR="0085416C" w:rsidRPr="00FC4B0F" w:rsidRDefault="0085416C" w:rsidP="0085416C">
            <w:pPr>
              <w:spacing w:beforeLines="20" w:before="48" w:afterLines="20" w:after="48" w:line="240" w:lineRule="auto"/>
              <w:jc w:val="right"/>
              <w:rPr>
                <w:rFonts w:cs="Arial"/>
                <w:szCs w:val="20"/>
              </w:rPr>
            </w:pPr>
            <w:r w:rsidRPr="00FC4B0F">
              <w:rPr>
                <w:rFonts w:cs="Arial"/>
                <w:szCs w:val="20"/>
              </w:rPr>
              <w:t>6</w:t>
            </w:r>
          </w:p>
        </w:tc>
        <w:tc>
          <w:tcPr>
            <w:tcW w:w="938" w:type="dxa"/>
            <w:tcBorders>
              <w:top w:val="nil"/>
              <w:left w:val="nil"/>
              <w:bottom w:val="single" w:sz="4" w:space="0" w:color="auto"/>
              <w:right w:val="single" w:sz="4" w:space="0" w:color="auto"/>
            </w:tcBorders>
            <w:vAlign w:val="bottom"/>
          </w:tcPr>
          <w:p w14:paraId="04098C97" w14:textId="029DEF82"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16</w:t>
            </w:r>
          </w:p>
        </w:tc>
      </w:tr>
      <w:tr w:rsidR="0085416C" w:rsidRPr="00224AA8" w14:paraId="4899A809"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5F64D404" w14:textId="33C74E95" w:rsidR="0085416C" w:rsidRPr="00224AA8" w:rsidRDefault="0085416C" w:rsidP="0085416C">
            <w:pPr>
              <w:spacing w:beforeLines="20" w:before="48" w:afterLines="20" w:after="48" w:line="240" w:lineRule="auto"/>
              <w:rPr>
                <w:rFonts w:cs="Arial"/>
                <w:szCs w:val="20"/>
              </w:rPr>
            </w:pPr>
            <w:r>
              <w:rPr>
                <w:rFonts w:cs="Arial"/>
                <w:szCs w:val="20"/>
              </w:rPr>
              <w:t>School Attendance Officer</w:t>
            </w:r>
          </w:p>
        </w:tc>
        <w:tc>
          <w:tcPr>
            <w:tcW w:w="938" w:type="dxa"/>
            <w:tcBorders>
              <w:top w:val="nil"/>
              <w:left w:val="nil"/>
              <w:bottom w:val="single" w:sz="4" w:space="0" w:color="auto"/>
              <w:right w:val="single" w:sz="4" w:space="0" w:color="auto"/>
            </w:tcBorders>
            <w:noWrap/>
          </w:tcPr>
          <w:p w14:paraId="3A2696C3" w14:textId="2A89377F" w:rsidR="0085416C" w:rsidRPr="00FC4B0F" w:rsidRDefault="0085416C" w:rsidP="0085416C">
            <w:pPr>
              <w:spacing w:beforeLines="20" w:before="48" w:afterLines="20" w:after="48" w:line="240" w:lineRule="auto"/>
              <w:jc w:val="right"/>
              <w:rPr>
                <w:rFonts w:cs="Arial"/>
                <w:szCs w:val="20"/>
              </w:rPr>
            </w:pPr>
            <w:r w:rsidRPr="00FC4B0F">
              <w:rPr>
                <w:rFonts w:cs="Arial"/>
                <w:szCs w:val="20"/>
              </w:rPr>
              <w:t>18</w:t>
            </w:r>
          </w:p>
        </w:tc>
        <w:tc>
          <w:tcPr>
            <w:tcW w:w="938" w:type="dxa"/>
            <w:tcBorders>
              <w:top w:val="nil"/>
              <w:left w:val="nil"/>
              <w:bottom w:val="single" w:sz="4" w:space="0" w:color="auto"/>
              <w:right w:val="single" w:sz="4" w:space="0" w:color="auto"/>
            </w:tcBorders>
            <w:noWrap/>
          </w:tcPr>
          <w:p w14:paraId="75729399" w14:textId="6A9EA43E" w:rsidR="0085416C" w:rsidRPr="00FC4B0F" w:rsidRDefault="0085416C" w:rsidP="0085416C">
            <w:pPr>
              <w:spacing w:beforeLines="20" w:before="48" w:afterLines="20" w:after="48" w:line="240" w:lineRule="auto"/>
              <w:jc w:val="right"/>
              <w:rPr>
                <w:rFonts w:cs="Arial"/>
                <w:szCs w:val="20"/>
              </w:rPr>
            </w:pPr>
            <w:r w:rsidRPr="00FC4B0F">
              <w:rPr>
                <w:rFonts w:cs="Arial"/>
                <w:szCs w:val="20"/>
              </w:rPr>
              <w:t>30</w:t>
            </w:r>
          </w:p>
        </w:tc>
        <w:tc>
          <w:tcPr>
            <w:tcW w:w="938" w:type="dxa"/>
            <w:tcBorders>
              <w:top w:val="nil"/>
              <w:left w:val="nil"/>
              <w:bottom w:val="single" w:sz="4" w:space="0" w:color="auto"/>
              <w:right w:val="single" w:sz="4" w:space="0" w:color="auto"/>
            </w:tcBorders>
            <w:noWrap/>
          </w:tcPr>
          <w:p w14:paraId="47954FD7" w14:textId="7073732D" w:rsidR="0085416C" w:rsidRPr="00FC4B0F" w:rsidRDefault="0085416C" w:rsidP="0085416C">
            <w:pPr>
              <w:spacing w:beforeLines="20" w:before="48" w:afterLines="20" w:after="48" w:line="240" w:lineRule="auto"/>
              <w:jc w:val="right"/>
              <w:rPr>
                <w:rFonts w:cs="Arial"/>
                <w:szCs w:val="20"/>
              </w:rPr>
            </w:pPr>
            <w:r w:rsidRPr="00FC4B0F">
              <w:rPr>
                <w:rFonts w:cs="Arial"/>
                <w:szCs w:val="20"/>
              </w:rPr>
              <w:t>14</w:t>
            </w:r>
          </w:p>
        </w:tc>
        <w:tc>
          <w:tcPr>
            <w:tcW w:w="938" w:type="dxa"/>
            <w:tcBorders>
              <w:top w:val="nil"/>
              <w:left w:val="nil"/>
              <w:bottom w:val="single" w:sz="4" w:space="0" w:color="auto"/>
              <w:right w:val="single" w:sz="4" w:space="0" w:color="auto"/>
            </w:tcBorders>
            <w:noWrap/>
          </w:tcPr>
          <w:p w14:paraId="4624BD4D" w14:textId="2E683983" w:rsidR="0085416C" w:rsidRPr="00FC4B0F" w:rsidRDefault="0085416C" w:rsidP="0085416C">
            <w:pPr>
              <w:spacing w:beforeLines="20" w:before="48" w:afterLines="20" w:after="48" w:line="240" w:lineRule="auto"/>
              <w:jc w:val="right"/>
              <w:rPr>
                <w:rFonts w:cs="Arial"/>
                <w:szCs w:val="20"/>
              </w:rPr>
            </w:pPr>
            <w:r w:rsidRPr="00FC4B0F">
              <w:rPr>
                <w:rFonts w:cs="Arial"/>
                <w:szCs w:val="20"/>
              </w:rPr>
              <w:t>34</w:t>
            </w:r>
          </w:p>
        </w:tc>
        <w:tc>
          <w:tcPr>
            <w:tcW w:w="938" w:type="dxa"/>
            <w:tcBorders>
              <w:top w:val="nil"/>
              <w:left w:val="nil"/>
              <w:bottom w:val="single" w:sz="4" w:space="0" w:color="auto"/>
              <w:right w:val="single" w:sz="4" w:space="0" w:color="auto"/>
            </w:tcBorders>
            <w:vAlign w:val="bottom"/>
          </w:tcPr>
          <w:p w14:paraId="0A7F16C8" w14:textId="2F07B54D"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96</w:t>
            </w:r>
          </w:p>
        </w:tc>
      </w:tr>
      <w:tr w:rsidR="0085416C" w:rsidRPr="00224AA8" w14:paraId="0754B65A"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49D02FA5" w14:textId="3862A884" w:rsidR="0085416C" w:rsidRDefault="0085416C" w:rsidP="0085416C">
            <w:pPr>
              <w:spacing w:beforeLines="20" w:before="48" w:afterLines="20" w:after="48" w:line="240" w:lineRule="auto"/>
              <w:rPr>
                <w:rFonts w:cs="Arial"/>
                <w:szCs w:val="20"/>
              </w:rPr>
            </w:pPr>
            <w:r>
              <w:rPr>
                <w:rFonts w:cs="Arial"/>
                <w:szCs w:val="20"/>
              </w:rPr>
              <w:t>TCHHS – Cape Mental Health</w:t>
            </w:r>
          </w:p>
        </w:tc>
        <w:tc>
          <w:tcPr>
            <w:tcW w:w="938" w:type="dxa"/>
            <w:tcBorders>
              <w:top w:val="nil"/>
              <w:left w:val="nil"/>
              <w:bottom w:val="single" w:sz="4" w:space="0" w:color="auto"/>
              <w:right w:val="single" w:sz="4" w:space="0" w:color="auto"/>
            </w:tcBorders>
            <w:noWrap/>
          </w:tcPr>
          <w:p w14:paraId="52C0A6A1" w14:textId="3D870F2A" w:rsidR="0085416C" w:rsidRPr="00FC4B0F" w:rsidRDefault="0085416C" w:rsidP="0085416C">
            <w:pPr>
              <w:spacing w:beforeLines="20" w:before="48" w:afterLines="20" w:after="48" w:line="240" w:lineRule="auto"/>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noWrap/>
          </w:tcPr>
          <w:p w14:paraId="43C55896" w14:textId="7F86BE67" w:rsidR="0085416C" w:rsidRPr="00FC4B0F" w:rsidRDefault="0085416C" w:rsidP="0085416C">
            <w:pPr>
              <w:spacing w:beforeLines="20" w:before="48" w:afterLines="20" w:after="48" w:line="240" w:lineRule="auto"/>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04E45421" w14:textId="0C48D7ED" w:rsidR="0085416C" w:rsidRPr="00FC4B0F" w:rsidRDefault="0085416C" w:rsidP="0085416C">
            <w:pPr>
              <w:spacing w:beforeLines="20" w:before="48" w:afterLines="20" w:after="48" w:line="240" w:lineRule="auto"/>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467C1D1A" w14:textId="7B4C0596" w:rsidR="0085416C" w:rsidRPr="00FC4B0F" w:rsidRDefault="0085416C" w:rsidP="0085416C">
            <w:pPr>
              <w:spacing w:beforeLines="20" w:before="48" w:afterLines="20" w:after="48" w:line="240" w:lineRule="auto"/>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vAlign w:val="bottom"/>
          </w:tcPr>
          <w:p w14:paraId="2275413E" w14:textId="61A21EC6" w:rsidR="0085416C" w:rsidRPr="00FC4B0F" w:rsidRDefault="0085416C" w:rsidP="0085416C">
            <w:pPr>
              <w:spacing w:beforeLines="20" w:before="48" w:afterLines="20" w:after="48" w:line="240" w:lineRule="auto"/>
              <w:jc w:val="right"/>
              <w:rPr>
                <w:rFonts w:cs="Arial"/>
                <w:b/>
                <w:bCs/>
                <w:szCs w:val="20"/>
              </w:rPr>
            </w:pPr>
            <w:r>
              <w:rPr>
                <w:rFonts w:cs="Arial"/>
                <w:b/>
                <w:bCs/>
                <w:szCs w:val="20"/>
              </w:rPr>
              <w:t>1</w:t>
            </w:r>
          </w:p>
        </w:tc>
      </w:tr>
      <w:tr w:rsidR="0085416C" w:rsidRPr="00224AA8" w14:paraId="185BC18B"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57E45177" w14:textId="08E05BA8" w:rsidR="0085416C" w:rsidRPr="00224AA8" w:rsidRDefault="0085416C" w:rsidP="0085416C">
            <w:pPr>
              <w:spacing w:beforeLines="20" w:before="48" w:afterLines="20" w:after="48" w:line="240" w:lineRule="auto"/>
              <w:rPr>
                <w:rFonts w:cs="Arial"/>
                <w:szCs w:val="20"/>
              </w:rPr>
            </w:pPr>
            <w:r>
              <w:rPr>
                <w:rFonts w:cs="Arial"/>
                <w:szCs w:val="20"/>
              </w:rPr>
              <w:t>Wellbeing Centre - Apunipima</w:t>
            </w:r>
          </w:p>
        </w:tc>
        <w:tc>
          <w:tcPr>
            <w:tcW w:w="938" w:type="dxa"/>
            <w:tcBorders>
              <w:top w:val="nil"/>
              <w:left w:val="nil"/>
              <w:bottom w:val="single" w:sz="4" w:space="0" w:color="auto"/>
              <w:right w:val="single" w:sz="4" w:space="0" w:color="auto"/>
            </w:tcBorders>
            <w:noWrap/>
          </w:tcPr>
          <w:p w14:paraId="6D1639F7" w14:textId="19592A4E" w:rsidR="0085416C" w:rsidRPr="00FC4B0F" w:rsidRDefault="0085416C" w:rsidP="0085416C">
            <w:pPr>
              <w:spacing w:beforeLines="20" w:before="48" w:afterLines="20" w:after="48" w:line="240" w:lineRule="auto"/>
              <w:jc w:val="right"/>
              <w:rPr>
                <w:rFonts w:cs="Arial"/>
                <w:szCs w:val="20"/>
              </w:rPr>
            </w:pPr>
            <w:r w:rsidRPr="00FC4B0F">
              <w:rPr>
                <w:rFonts w:cs="Arial"/>
                <w:szCs w:val="20"/>
              </w:rPr>
              <w:t>22</w:t>
            </w:r>
          </w:p>
        </w:tc>
        <w:tc>
          <w:tcPr>
            <w:tcW w:w="938" w:type="dxa"/>
            <w:tcBorders>
              <w:top w:val="nil"/>
              <w:left w:val="nil"/>
              <w:bottom w:val="single" w:sz="4" w:space="0" w:color="auto"/>
              <w:right w:val="single" w:sz="4" w:space="0" w:color="auto"/>
            </w:tcBorders>
            <w:noWrap/>
          </w:tcPr>
          <w:p w14:paraId="08BA9C9D" w14:textId="2305CB01" w:rsidR="0085416C" w:rsidRPr="00FC4B0F" w:rsidRDefault="0085416C" w:rsidP="0085416C">
            <w:pPr>
              <w:spacing w:beforeLines="20" w:before="48" w:afterLines="20" w:after="48" w:line="240" w:lineRule="auto"/>
              <w:jc w:val="right"/>
              <w:rPr>
                <w:rFonts w:cs="Arial"/>
                <w:szCs w:val="20"/>
              </w:rPr>
            </w:pPr>
            <w:r w:rsidRPr="00FC4B0F">
              <w:rPr>
                <w:rFonts w:cs="Arial"/>
                <w:szCs w:val="20"/>
              </w:rPr>
              <w:t>41</w:t>
            </w:r>
          </w:p>
        </w:tc>
        <w:tc>
          <w:tcPr>
            <w:tcW w:w="938" w:type="dxa"/>
            <w:tcBorders>
              <w:top w:val="nil"/>
              <w:left w:val="nil"/>
              <w:bottom w:val="single" w:sz="4" w:space="0" w:color="auto"/>
              <w:right w:val="single" w:sz="4" w:space="0" w:color="auto"/>
            </w:tcBorders>
            <w:noWrap/>
          </w:tcPr>
          <w:p w14:paraId="7A16EB74" w14:textId="1436CDBC" w:rsidR="0085416C" w:rsidRPr="00FC4B0F" w:rsidRDefault="0085416C" w:rsidP="0085416C">
            <w:pPr>
              <w:spacing w:beforeLines="20" w:before="48" w:afterLines="20" w:after="48" w:line="240" w:lineRule="auto"/>
              <w:jc w:val="right"/>
              <w:rPr>
                <w:rFonts w:cs="Arial"/>
                <w:szCs w:val="20"/>
              </w:rPr>
            </w:pPr>
            <w:r w:rsidRPr="00FC4B0F">
              <w:rPr>
                <w:rFonts w:cs="Arial"/>
                <w:szCs w:val="20"/>
              </w:rPr>
              <w:t>18</w:t>
            </w:r>
          </w:p>
        </w:tc>
        <w:tc>
          <w:tcPr>
            <w:tcW w:w="938" w:type="dxa"/>
            <w:tcBorders>
              <w:top w:val="nil"/>
              <w:left w:val="nil"/>
              <w:bottom w:val="single" w:sz="4" w:space="0" w:color="auto"/>
              <w:right w:val="single" w:sz="4" w:space="0" w:color="auto"/>
            </w:tcBorders>
            <w:noWrap/>
          </w:tcPr>
          <w:p w14:paraId="5C53B8BA" w14:textId="536EBF3A" w:rsidR="0085416C" w:rsidRPr="00FC4B0F" w:rsidRDefault="0085416C" w:rsidP="0085416C">
            <w:pPr>
              <w:spacing w:beforeLines="20" w:before="48" w:afterLines="20" w:after="48" w:line="240" w:lineRule="auto"/>
              <w:jc w:val="right"/>
              <w:rPr>
                <w:rFonts w:cs="Arial"/>
                <w:szCs w:val="20"/>
              </w:rPr>
            </w:pPr>
            <w:r w:rsidRPr="00FC4B0F">
              <w:rPr>
                <w:rFonts w:cs="Arial"/>
                <w:szCs w:val="20"/>
              </w:rPr>
              <w:t>32</w:t>
            </w:r>
          </w:p>
        </w:tc>
        <w:tc>
          <w:tcPr>
            <w:tcW w:w="938" w:type="dxa"/>
            <w:tcBorders>
              <w:top w:val="nil"/>
              <w:left w:val="nil"/>
              <w:bottom w:val="single" w:sz="4" w:space="0" w:color="auto"/>
              <w:right w:val="single" w:sz="4" w:space="0" w:color="auto"/>
            </w:tcBorders>
            <w:vAlign w:val="bottom"/>
          </w:tcPr>
          <w:p w14:paraId="12E28D84" w14:textId="6CC8DA8B"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113</w:t>
            </w:r>
          </w:p>
        </w:tc>
      </w:tr>
      <w:tr w:rsidR="0085416C" w:rsidRPr="00224AA8" w14:paraId="4ADB21F9"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131CBB01" w14:textId="5321C31F" w:rsidR="0085416C" w:rsidRDefault="0085416C" w:rsidP="0085416C">
            <w:pPr>
              <w:spacing w:beforeLines="20" w:before="48" w:afterLines="20" w:after="48" w:line="240" w:lineRule="auto"/>
              <w:rPr>
                <w:rFonts w:cs="Arial"/>
                <w:szCs w:val="20"/>
              </w:rPr>
            </w:pPr>
            <w:r>
              <w:rPr>
                <w:rFonts w:cs="Arial"/>
                <w:szCs w:val="20"/>
              </w:rPr>
              <w:t>Wellbeing Centre - NWRH</w:t>
            </w:r>
          </w:p>
        </w:tc>
        <w:tc>
          <w:tcPr>
            <w:tcW w:w="938" w:type="dxa"/>
            <w:tcBorders>
              <w:top w:val="nil"/>
              <w:left w:val="nil"/>
              <w:bottom w:val="single" w:sz="4" w:space="0" w:color="auto"/>
              <w:right w:val="single" w:sz="4" w:space="0" w:color="auto"/>
            </w:tcBorders>
            <w:noWrap/>
          </w:tcPr>
          <w:p w14:paraId="503ED01B" w14:textId="3C624B37" w:rsidR="0085416C" w:rsidRPr="00FC4B0F" w:rsidRDefault="0085416C" w:rsidP="0085416C">
            <w:pPr>
              <w:spacing w:beforeLines="20" w:before="48" w:afterLines="20" w:after="48" w:line="240" w:lineRule="auto"/>
              <w:jc w:val="right"/>
              <w:rPr>
                <w:rFonts w:cs="Arial"/>
                <w:szCs w:val="20"/>
              </w:rPr>
            </w:pPr>
            <w:r>
              <w:rPr>
                <w:rFonts w:ascii="Verdana" w:hAnsi="Verdana" w:cs="Arial"/>
                <w:szCs w:val="20"/>
              </w:rPr>
              <w:t>1</w:t>
            </w:r>
          </w:p>
        </w:tc>
        <w:tc>
          <w:tcPr>
            <w:tcW w:w="938" w:type="dxa"/>
            <w:tcBorders>
              <w:top w:val="nil"/>
              <w:left w:val="nil"/>
              <w:bottom w:val="single" w:sz="4" w:space="0" w:color="auto"/>
              <w:right w:val="single" w:sz="4" w:space="0" w:color="auto"/>
            </w:tcBorders>
            <w:noWrap/>
          </w:tcPr>
          <w:p w14:paraId="14C2853C" w14:textId="03D9BBCF" w:rsidR="0085416C" w:rsidRPr="00FC4B0F" w:rsidRDefault="0085416C" w:rsidP="0085416C">
            <w:pPr>
              <w:spacing w:beforeLines="20" w:before="48" w:afterLines="20" w:after="48" w:line="240" w:lineRule="auto"/>
              <w:jc w:val="right"/>
              <w:rPr>
                <w:rFonts w:cs="Arial"/>
                <w:szCs w:val="20"/>
              </w:rPr>
            </w:pPr>
            <w:r>
              <w:rPr>
                <w:rFonts w:ascii="Verdana" w:hAnsi="Verdana" w:cs="Arial"/>
                <w:szCs w:val="20"/>
              </w:rPr>
              <w:t>0</w:t>
            </w:r>
          </w:p>
        </w:tc>
        <w:tc>
          <w:tcPr>
            <w:tcW w:w="938" w:type="dxa"/>
            <w:tcBorders>
              <w:top w:val="nil"/>
              <w:left w:val="nil"/>
              <w:bottom w:val="single" w:sz="4" w:space="0" w:color="auto"/>
              <w:right w:val="single" w:sz="4" w:space="0" w:color="auto"/>
            </w:tcBorders>
            <w:noWrap/>
          </w:tcPr>
          <w:p w14:paraId="057E1815" w14:textId="40BA70C3" w:rsidR="0085416C" w:rsidRPr="00FC4B0F" w:rsidRDefault="0085416C" w:rsidP="0085416C">
            <w:pPr>
              <w:spacing w:beforeLines="20" w:before="48" w:afterLines="20" w:after="48" w:line="240" w:lineRule="auto"/>
              <w:jc w:val="right"/>
              <w:rPr>
                <w:rFonts w:cs="Arial"/>
                <w:szCs w:val="20"/>
              </w:rPr>
            </w:pPr>
            <w:r>
              <w:rPr>
                <w:rFonts w:ascii="Verdana" w:hAnsi="Verdana" w:cs="Arial"/>
                <w:szCs w:val="20"/>
              </w:rPr>
              <w:t>1</w:t>
            </w:r>
          </w:p>
        </w:tc>
        <w:tc>
          <w:tcPr>
            <w:tcW w:w="938" w:type="dxa"/>
            <w:tcBorders>
              <w:top w:val="nil"/>
              <w:left w:val="nil"/>
              <w:bottom w:val="single" w:sz="4" w:space="0" w:color="auto"/>
              <w:right w:val="single" w:sz="4" w:space="0" w:color="auto"/>
            </w:tcBorders>
            <w:noWrap/>
          </w:tcPr>
          <w:p w14:paraId="516E8378" w14:textId="3F331EA0" w:rsidR="0085416C" w:rsidRPr="00FC4B0F" w:rsidRDefault="0085416C" w:rsidP="0085416C">
            <w:pPr>
              <w:spacing w:beforeLines="20" w:before="48" w:afterLines="20" w:after="48" w:line="240" w:lineRule="auto"/>
              <w:jc w:val="right"/>
              <w:rPr>
                <w:rFonts w:cs="Arial"/>
                <w:szCs w:val="20"/>
              </w:rPr>
            </w:pPr>
            <w:r>
              <w:rPr>
                <w:rFonts w:ascii="Verdana" w:hAnsi="Verdana" w:cs="Arial"/>
                <w:szCs w:val="20"/>
              </w:rPr>
              <w:t>1</w:t>
            </w:r>
          </w:p>
        </w:tc>
        <w:tc>
          <w:tcPr>
            <w:tcW w:w="938" w:type="dxa"/>
            <w:tcBorders>
              <w:top w:val="nil"/>
              <w:left w:val="nil"/>
              <w:bottom w:val="single" w:sz="4" w:space="0" w:color="auto"/>
              <w:right w:val="single" w:sz="4" w:space="0" w:color="auto"/>
            </w:tcBorders>
            <w:vAlign w:val="bottom"/>
          </w:tcPr>
          <w:p w14:paraId="17B66205" w14:textId="2BDF9968" w:rsidR="0085416C" w:rsidRPr="00FC4B0F" w:rsidRDefault="0085416C" w:rsidP="0085416C">
            <w:pPr>
              <w:spacing w:beforeLines="20" w:before="48" w:afterLines="20" w:after="48" w:line="240" w:lineRule="auto"/>
              <w:jc w:val="right"/>
              <w:rPr>
                <w:rFonts w:cs="Arial"/>
                <w:b/>
                <w:bCs/>
                <w:szCs w:val="20"/>
              </w:rPr>
            </w:pPr>
            <w:r>
              <w:rPr>
                <w:rFonts w:ascii="Verdana" w:hAnsi="Verdana" w:cs="Arial"/>
                <w:b/>
                <w:bCs/>
                <w:szCs w:val="20"/>
              </w:rPr>
              <w:t>3</w:t>
            </w:r>
          </w:p>
        </w:tc>
      </w:tr>
      <w:tr w:rsidR="0085416C" w:rsidRPr="00224AA8" w14:paraId="1AAF423A" w14:textId="77777777" w:rsidTr="00594D14">
        <w:trPr>
          <w:trHeight w:val="255"/>
        </w:trPr>
        <w:tc>
          <w:tcPr>
            <w:tcW w:w="3898" w:type="dxa"/>
            <w:tcBorders>
              <w:top w:val="single" w:sz="4" w:space="0" w:color="auto"/>
              <w:left w:val="single" w:sz="4" w:space="0" w:color="auto"/>
              <w:bottom w:val="single" w:sz="4" w:space="0" w:color="auto"/>
              <w:right w:val="single" w:sz="4" w:space="0" w:color="auto"/>
            </w:tcBorders>
            <w:noWrap/>
          </w:tcPr>
          <w:p w14:paraId="53B32439" w14:textId="574C7DE7" w:rsidR="0085416C" w:rsidRPr="00224AA8" w:rsidRDefault="0085416C" w:rsidP="0085416C">
            <w:pPr>
              <w:spacing w:beforeLines="20" w:before="48" w:afterLines="20" w:after="48" w:line="240" w:lineRule="auto"/>
              <w:rPr>
                <w:rFonts w:cs="Arial"/>
                <w:b/>
                <w:bCs/>
                <w:szCs w:val="20"/>
              </w:rPr>
            </w:pPr>
            <w:r w:rsidRPr="00224AA8">
              <w:rPr>
                <w:rFonts w:cs="Arial"/>
                <w:b/>
                <w:bCs/>
                <w:szCs w:val="20"/>
              </w:rPr>
              <w:t>Total</w:t>
            </w:r>
          </w:p>
        </w:tc>
        <w:tc>
          <w:tcPr>
            <w:tcW w:w="938" w:type="dxa"/>
            <w:tcBorders>
              <w:top w:val="single" w:sz="4" w:space="0" w:color="auto"/>
              <w:left w:val="nil"/>
              <w:bottom w:val="single" w:sz="4" w:space="0" w:color="auto"/>
              <w:right w:val="single" w:sz="4" w:space="0" w:color="auto"/>
            </w:tcBorders>
            <w:noWrap/>
          </w:tcPr>
          <w:p w14:paraId="1A818596" w14:textId="4F073186"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60</w:t>
            </w:r>
          </w:p>
        </w:tc>
        <w:tc>
          <w:tcPr>
            <w:tcW w:w="938" w:type="dxa"/>
            <w:tcBorders>
              <w:top w:val="single" w:sz="4" w:space="0" w:color="auto"/>
              <w:left w:val="nil"/>
              <w:bottom w:val="single" w:sz="4" w:space="0" w:color="auto"/>
              <w:right w:val="single" w:sz="4" w:space="0" w:color="auto"/>
            </w:tcBorders>
            <w:noWrap/>
          </w:tcPr>
          <w:p w14:paraId="75EE8E07" w14:textId="473A4C96"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112</w:t>
            </w:r>
          </w:p>
        </w:tc>
        <w:tc>
          <w:tcPr>
            <w:tcW w:w="938" w:type="dxa"/>
            <w:tcBorders>
              <w:top w:val="single" w:sz="4" w:space="0" w:color="auto"/>
              <w:left w:val="nil"/>
              <w:bottom w:val="single" w:sz="4" w:space="0" w:color="auto"/>
              <w:right w:val="single" w:sz="4" w:space="0" w:color="auto"/>
            </w:tcBorders>
            <w:noWrap/>
          </w:tcPr>
          <w:p w14:paraId="5BCB87C5" w14:textId="62AA2322"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65</w:t>
            </w:r>
          </w:p>
        </w:tc>
        <w:tc>
          <w:tcPr>
            <w:tcW w:w="938" w:type="dxa"/>
            <w:tcBorders>
              <w:top w:val="single" w:sz="4" w:space="0" w:color="auto"/>
              <w:left w:val="nil"/>
              <w:bottom w:val="single" w:sz="4" w:space="0" w:color="auto"/>
              <w:right w:val="single" w:sz="4" w:space="0" w:color="auto"/>
            </w:tcBorders>
            <w:noWrap/>
          </w:tcPr>
          <w:p w14:paraId="2A2479B1" w14:textId="4C2DC03F"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105</w:t>
            </w:r>
          </w:p>
        </w:tc>
        <w:tc>
          <w:tcPr>
            <w:tcW w:w="938" w:type="dxa"/>
            <w:tcBorders>
              <w:top w:val="single" w:sz="4" w:space="0" w:color="auto"/>
              <w:left w:val="nil"/>
              <w:bottom w:val="single" w:sz="4" w:space="0" w:color="auto"/>
              <w:right w:val="single" w:sz="4" w:space="0" w:color="auto"/>
            </w:tcBorders>
            <w:vAlign w:val="bottom"/>
          </w:tcPr>
          <w:p w14:paraId="545D4F12" w14:textId="18E647DD" w:rsidR="0085416C" w:rsidRPr="00FC4B0F" w:rsidRDefault="0085416C" w:rsidP="0085416C">
            <w:pPr>
              <w:spacing w:beforeLines="20" w:before="48" w:afterLines="20" w:after="48" w:line="240" w:lineRule="auto"/>
              <w:jc w:val="right"/>
              <w:rPr>
                <w:rFonts w:cs="Arial"/>
                <w:b/>
                <w:bCs/>
                <w:szCs w:val="20"/>
              </w:rPr>
            </w:pPr>
            <w:r w:rsidRPr="00FC4B0F">
              <w:rPr>
                <w:rFonts w:cs="Arial"/>
                <w:b/>
                <w:bCs/>
                <w:szCs w:val="20"/>
              </w:rPr>
              <w:t>342</w:t>
            </w:r>
          </w:p>
        </w:tc>
      </w:tr>
    </w:tbl>
    <w:p w14:paraId="508C78FF" w14:textId="77777777" w:rsidR="006B6F53" w:rsidRPr="00224AA8" w:rsidRDefault="006B6F53" w:rsidP="006B6F53"/>
    <w:p w14:paraId="253C5D25" w14:textId="77777777" w:rsidR="0085416C" w:rsidRPr="00224AA8" w:rsidRDefault="0085416C" w:rsidP="0085416C">
      <w:r w:rsidRPr="00224AA8">
        <w:t xml:space="preserve">The number of referrals from FRAs and orders for the financial year represents a decrease of </w:t>
      </w:r>
      <w:r>
        <w:t>28</w:t>
      </w:r>
      <w:r w:rsidRPr="00224AA8">
        <w:t xml:space="preserve">% from the previous reporting period of </w:t>
      </w:r>
      <w:r>
        <w:t>472</w:t>
      </w:r>
      <w:r w:rsidRPr="00224AA8">
        <w:t xml:space="preserve"> referrals. As a subset of the total number of these referrals, 1</w:t>
      </w:r>
      <w:r>
        <w:t>01</w:t>
      </w:r>
      <w:r w:rsidRPr="00224AA8">
        <w:t xml:space="preserve"> referrals were made in relation to DV conferences.</w:t>
      </w:r>
    </w:p>
    <w:p w14:paraId="17CE27EA" w14:textId="77777777" w:rsidR="0085416C" w:rsidRPr="00224AA8" w:rsidRDefault="0085416C" w:rsidP="0085416C">
      <w:pPr>
        <w:spacing w:after="160" w:line="259" w:lineRule="auto"/>
      </w:pPr>
      <w:r w:rsidRPr="00224AA8">
        <w:t xml:space="preserve">A further </w:t>
      </w:r>
      <w:r>
        <w:t>186</w:t>
      </w:r>
      <w:r w:rsidRPr="00224AA8">
        <w:t xml:space="preserve"> voluntary referrals (a</w:t>
      </w:r>
      <w:r>
        <w:t xml:space="preserve"> decrease </w:t>
      </w:r>
      <w:r w:rsidRPr="00224AA8">
        <w:t xml:space="preserve">of 2% from the </w:t>
      </w:r>
      <w:r>
        <w:t>190</w:t>
      </w:r>
      <w:r w:rsidRPr="00224AA8">
        <w:t xml:space="preserve"> reported in 202</w:t>
      </w:r>
      <w:r>
        <w:t>3</w:t>
      </w:r>
      <w:r w:rsidRPr="00224AA8">
        <w:t>-2</w:t>
      </w:r>
      <w:r>
        <w:t>4</w:t>
      </w:r>
      <w:r w:rsidRPr="00224AA8">
        <w:t xml:space="preserve">) to attend support services were requested from </w:t>
      </w:r>
      <w:r>
        <w:t>158</w:t>
      </w:r>
      <w:r w:rsidRPr="00224AA8">
        <w:t xml:space="preserve"> clients</w:t>
      </w:r>
      <w:r>
        <w:t xml:space="preserve"> (an increase of 4% from the 152 clients in 2023-24)</w:t>
      </w:r>
      <w:r w:rsidRPr="00224AA8">
        <w:t>.</w:t>
      </w:r>
    </w:p>
    <w:p w14:paraId="1C670BEA" w14:textId="77777777" w:rsidR="006B6F53" w:rsidRPr="00224AA8" w:rsidRDefault="006B6F53" w:rsidP="006B6F53">
      <w:pPr>
        <w:spacing w:after="160" w:line="259" w:lineRule="auto"/>
        <w:rPr>
          <w:rFonts w:cs="Arial"/>
          <w:lang w:val="en-US"/>
        </w:rPr>
      </w:pPr>
      <w:r w:rsidRPr="00224AA8">
        <w:rPr>
          <w:rFonts w:cs="Arial"/>
          <w:b/>
          <w:bCs/>
          <w:sz w:val="17"/>
          <w:szCs w:val="17"/>
          <w:lang w:val="en-US"/>
        </w:rPr>
        <w:t xml:space="preserve">Table </w:t>
      </w:r>
      <w:r>
        <w:rPr>
          <w:rFonts w:cs="Arial"/>
          <w:b/>
          <w:bCs/>
          <w:sz w:val="17"/>
          <w:szCs w:val="17"/>
          <w:lang w:val="en-US"/>
        </w:rPr>
        <w:t>9</w:t>
      </w:r>
      <w:r w:rsidRPr="00224AA8">
        <w:rPr>
          <w:rFonts w:cs="Arial"/>
          <w:b/>
          <w:bCs/>
          <w:sz w:val="17"/>
          <w:szCs w:val="17"/>
          <w:lang w:val="en-US"/>
        </w:rPr>
        <w:t>: FRC voluntary referral pathways by referral type and quarter 1 July 202</w:t>
      </w:r>
      <w:r>
        <w:rPr>
          <w:rFonts w:cs="Arial"/>
          <w:b/>
          <w:bCs/>
          <w:sz w:val="17"/>
          <w:szCs w:val="17"/>
          <w:lang w:val="en-US"/>
        </w:rPr>
        <w:t>4</w:t>
      </w:r>
      <w:r w:rsidRPr="00224AA8">
        <w:rPr>
          <w:rFonts w:cs="Arial"/>
          <w:b/>
          <w:bCs/>
          <w:sz w:val="17"/>
          <w:szCs w:val="17"/>
          <w:lang w:val="en-US"/>
        </w:rPr>
        <w:t xml:space="preserve"> to 30 June 202</w:t>
      </w:r>
      <w:r>
        <w:rPr>
          <w:rFonts w:cs="Arial"/>
          <w:b/>
          <w:bCs/>
          <w:sz w:val="17"/>
          <w:szCs w:val="17"/>
          <w:lang w:val="en-US"/>
        </w:rPr>
        <w:t>5</w:t>
      </w:r>
    </w:p>
    <w:tbl>
      <w:tblPr>
        <w:tblW w:w="8588" w:type="dxa"/>
        <w:tblLayout w:type="fixed"/>
        <w:tblLook w:val="04A0" w:firstRow="1" w:lastRow="0" w:firstColumn="1" w:lastColumn="0" w:noHBand="0" w:noVBand="1"/>
      </w:tblPr>
      <w:tblGrid>
        <w:gridCol w:w="3898"/>
        <w:gridCol w:w="938"/>
        <w:gridCol w:w="938"/>
        <w:gridCol w:w="938"/>
        <w:gridCol w:w="938"/>
        <w:gridCol w:w="938"/>
      </w:tblGrid>
      <w:tr w:rsidR="006B6F53" w:rsidRPr="00224AA8" w14:paraId="572BFB43" w14:textId="77777777" w:rsidTr="00594D14">
        <w:trPr>
          <w:trHeight w:val="394"/>
        </w:trPr>
        <w:tc>
          <w:tcPr>
            <w:tcW w:w="389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3840CC40" w14:textId="77777777" w:rsidR="006B6F53" w:rsidRPr="00224AA8" w:rsidRDefault="006B6F53" w:rsidP="00594D14">
            <w:pPr>
              <w:spacing w:before="60" w:after="60"/>
              <w:rPr>
                <w:rFonts w:cs="Arial"/>
                <w:b/>
                <w:bCs/>
                <w:color w:val="FFFFFF" w:themeColor="background1"/>
                <w:szCs w:val="20"/>
              </w:rPr>
            </w:pPr>
            <w:r w:rsidRPr="00224AA8">
              <w:rPr>
                <w:rFonts w:cs="Arial"/>
                <w:b/>
                <w:bCs/>
                <w:color w:val="FFFFFF" w:themeColor="background1"/>
                <w:szCs w:val="20"/>
              </w:rPr>
              <w:lastRenderedPageBreak/>
              <w:t>Referral type</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28E88E97" w14:textId="77777777" w:rsidR="006B6F53" w:rsidRPr="00224AA8" w:rsidRDefault="006B6F53" w:rsidP="00594D14">
            <w:pPr>
              <w:spacing w:before="60" w:after="60"/>
              <w:jc w:val="right"/>
              <w:rPr>
                <w:rFonts w:cs="Arial"/>
                <w:b/>
                <w:bCs/>
                <w:color w:val="FFFFFF" w:themeColor="background1"/>
                <w:szCs w:val="20"/>
              </w:rPr>
            </w:pPr>
            <w:r w:rsidRPr="00224AA8">
              <w:rPr>
                <w:b/>
                <w:bCs/>
                <w:color w:val="FFFFFF" w:themeColor="background1"/>
              </w:rPr>
              <w:t>Qtr 6</w:t>
            </w:r>
            <w:r>
              <w:rPr>
                <w:b/>
                <w:bCs/>
                <w:color w:val="FFFFFF" w:themeColor="background1"/>
              </w:rPr>
              <w:t>5</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7CB2FA70" w14:textId="77777777" w:rsidR="006B6F53" w:rsidRPr="00224AA8" w:rsidRDefault="006B6F53" w:rsidP="00594D14">
            <w:pPr>
              <w:spacing w:before="60" w:after="60"/>
              <w:jc w:val="right"/>
              <w:rPr>
                <w:rFonts w:cs="Arial"/>
                <w:b/>
                <w:bCs/>
                <w:color w:val="FFFFFF" w:themeColor="background1"/>
                <w:szCs w:val="20"/>
              </w:rPr>
            </w:pPr>
            <w:r w:rsidRPr="00224AA8">
              <w:rPr>
                <w:b/>
                <w:bCs/>
                <w:color w:val="FFFFFF" w:themeColor="background1"/>
              </w:rPr>
              <w:t>Qtr 6</w:t>
            </w:r>
            <w:r>
              <w:rPr>
                <w:b/>
                <w:bCs/>
                <w:color w:val="FFFFFF" w:themeColor="background1"/>
              </w:rPr>
              <w:t>6</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793E94BE" w14:textId="77777777" w:rsidR="006B6F53" w:rsidRPr="00224AA8" w:rsidRDefault="006B6F53" w:rsidP="00594D14">
            <w:pPr>
              <w:spacing w:before="60" w:after="60"/>
              <w:jc w:val="right"/>
              <w:rPr>
                <w:rFonts w:cs="Arial"/>
                <w:b/>
                <w:bCs/>
                <w:color w:val="FFFFFF" w:themeColor="background1"/>
                <w:szCs w:val="20"/>
              </w:rPr>
            </w:pPr>
            <w:r w:rsidRPr="00224AA8">
              <w:rPr>
                <w:b/>
                <w:bCs/>
                <w:color w:val="FFFFFF" w:themeColor="background1"/>
              </w:rPr>
              <w:t>Qtr 6</w:t>
            </w:r>
            <w:r>
              <w:rPr>
                <w:b/>
                <w:bCs/>
                <w:color w:val="FFFFFF" w:themeColor="background1"/>
              </w:rPr>
              <w:t>7</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70DD392D" w14:textId="77777777" w:rsidR="006B6F53" w:rsidRPr="00224AA8" w:rsidRDefault="006B6F53" w:rsidP="00594D14">
            <w:pPr>
              <w:spacing w:before="60" w:after="60"/>
              <w:jc w:val="right"/>
              <w:rPr>
                <w:rFonts w:cs="Arial"/>
                <w:b/>
                <w:bCs/>
                <w:color w:val="FFFFFF" w:themeColor="background1"/>
                <w:szCs w:val="20"/>
              </w:rPr>
            </w:pPr>
            <w:r w:rsidRPr="00224AA8">
              <w:rPr>
                <w:b/>
                <w:bCs/>
                <w:color w:val="FFFFFF" w:themeColor="background1"/>
              </w:rPr>
              <w:t>Qtr 6</w:t>
            </w:r>
            <w:r>
              <w:rPr>
                <w:b/>
                <w:bCs/>
                <w:color w:val="FFFFFF" w:themeColor="background1"/>
              </w:rPr>
              <w:t>8</w:t>
            </w:r>
          </w:p>
        </w:tc>
        <w:tc>
          <w:tcPr>
            <w:tcW w:w="938" w:type="dxa"/>
            <w:tcBorders>
              <w:top w:val="single" w:sz="4" w:space="0" w:color="auto"/>
              <w:left w:val="nil"/>
              <w:bottom w:val="single" w:sz="4" w:space="0" w:color="auto"/>
              <w:right w:val="single" w:sz="4" w:space="0" w:color="auto"/>
            </w:tcBorders>
            <w:shd w:val="clear" w:color="auto" w:fill="808080" w:themeFill="background1" w:themeFillShade="80"/>
          </w:tcPr>
          <w:p w14:paraId="71E772CC" w14:textId="77777777" w:rsidR="006B6F53" w:rsidRPr="00224AA8" w:rsidRDefault="006B6F53" w:rsidP="00594D14">
            <w:pPr>
              <w:spacing w:before="60" w:after="60"/>
              <w:jc w:val="right"/>
              <w:rPr>
                <w:rFonts w:cs="Arial"/>
                <w:b/>
                <w:bCs/>
                <w:color w:val="FFFFFF" w:themeColor="background1"/>
                <w:szCs w:val="20"/>
              </w:rPr>
            </w:pPr>
            <w:r w:rsidRPr="00224AA8">
              <w:rPr>
                <w:b/>
                <w:bCs/>
                <w:color w:val="FFFFFF" w:themeColor="background1"/>
              </w:rPr>
              <w:t>Total</w:t>
            </w:r>
          </w:p>
        </w:tc>
      </w:tr>
      <w:tr w:rsidR="00442E70" w:rsidRPr="00224AA8" w14:paraId="6BA1DB32"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4D531C9F" w14:textId="77777777" w:rsidR="00442E70" w:rsidRPr="00224AA8" w:rsidRDefault="00442E70" w:rsidP="00442E70">
            <w:pPr>
              <w:spacing w:before="60" w:after="60"/>
              <w:rPr>
                <w:rFonts w:cs="Arial"/>
                <w:szCs w:val="20"/>
              </w:rPr>
            </w:pPr>
            <w:r>
              <w:rPr>
                <w:rFonts w:cs="Arial"/>
                <w:szCs w:val="20"/>
              </w:rPr>
              <w:t>Aurukun Shire Council</w:t>
            </w:r>
          </w:p>
        </w:tc>
        <w:tc>
          <w:tcPr>
            <w:tcW w:w="938" w:type="dxa"/>
            <w:tcBorders>
              <w:top w:val="nil"/>
              <w:left w:val="nil"/>
              <w:bottom w:val="single" w:sz="4" w:space="0" w:color="auto"/>
              <w:right w:val="single" w:sz="4" w:space="0" w:color="auto"/>
            </w:tcBorders>
            <w:noWrap/>
          </w:tcPr>
          <w:p w14:paraId="087DCD17" w14:textId="1D45D62A"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5D31B037" w14:textId="7967F504" w:rsidR="00442E70" w:rsidRPr="00224AA8" w:rsidRDefault="00442E70" w:rsidP="00442E70">
            <w:pPr>
              <w:spacing w:before="60" w:after="60"/>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noWrap/>
          </w:tcPr>
          <w:p w14:paraId="5642050C" w14:textId="4EEB8C32" w:rsidR="00442E70" w:rsidRPr="00224AA8" w:rsidRDefault="00442E70" w:rsidP="00442E70">
            <w:pPr>
              <w:spacing w:before="60" w:after="60"/>
              <w:jc w:val="right"/>
              <w:rPr>
                <w:rFonts w:cs="Arial"/>
                <w:szCs w:val="20"/>
              </w:rPr>
            </w:pPr>
            <w:r>
              <w:rPr>
                <w:rFonts w:cs="Arial"/>
                <w:szCs w:val="20"/>
              </w:rPr>
              <w:t>6</w:t>
            </w:r>
          </w:p>
        </w:tc>
        <w:tc>
          <w:tcPr>
            <w:tcW w:w="938" w:type="dxa"/>
            <w:tcBorders>
              <w:top w:val="nil"/>
              <w:left w:val="nil"/>
              <w:bottom w:val="single" w:sz="4" w:space="0" w:color="auto"/>
              <w:right w:val="single" w:sz="4" w:space="0" w:color="auto"/>
            </w:tcBorders>
            <w:noWrap/>
          </w:tcPr>
          <w:p w14:paraId="3DC879BF" w14:textId="477A7FC9" w:rsidR="00442E70" w:rsidRPr="00224AA8" w:rsidRDefault="00442E70" w:rsidP="00442E70">
            <w:pPr>
              <w:spacing w:before="60" w:after="60"/>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vAlign w:val="bottom"/>
          </w:tcPr>
          <w:p w14:paraId="4EF36CCD" w14:textId="2B22F1BE" w:rsidR="00442E70" w:rsidRPr="00224AA8" w:rsidRDefault="00442E70" w:rsidP="00442E70">
            <w:pPr>
              <w:spacing w:before="60" w:after="60"/>
              <w:jc w:val="right"/>
              <w:rPr>
                <w:rFonts w:cs="Arial"/>
                <w:szCs w:val="20"/>
              </w:rPr>
            </w:pPr>
            <w:r>
              <w:rPr>
                <w:rFonts w:cs="Arial"/>
                <w:b/>
                <w:bCs/>
                <w:szCs w:val="20"/>
              </w:rPr>
              <w:t>8</w:t>
            </w:r>
          </w:p>
        </w:tc>
      </w:tr>
      <w:tr w:rsidR="00442E70" w:rsidRPr="00224AA8" w14:paraId="14357E8F"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3B630E7E" w14:textId="77777777" w:rsidR="00442E70" w:rsidRPr="00224AA8" w:rsidRDefault="00442E70" w:rsidP="00442E70">
            <w:pPr>
              <w:spacing w:before="60" w:after="60"/>
              <w:rPr>
                <w:rFonts w:cs="Arial"/>
                <w:szCs w:val="20"/>
              </w:rPr>
            </w:pPr>
            <w:r>
              <w:rPr>
                <w:rFonts w:cs="Arial"/>
                <w:szCs w:val="20"/>
              </w:rPr>
              <w:t>Cairns Community Legal Centre</w:t>
            </w:r>
          </w:p>
        </w:tc>
        <w:tc>
          <w:tcPr>
            <w:tcW w:w="938" w:type="dxa"/>
            <w:tcBorders>
              <w:top w:val="nil"/>
              <w:left w:val="nil"/>
              <w:bottom w:val="single" w:sz="4" w:space="0" w:color="auto"/>
              <w:right w:val="single" w:sz="4" w:space="0" w:color="auto"/>
            </w:tcBorders>
            <w:noWrap/>
          </w:tcPr>
          <w:p w14:paraId="622FBF07" w14:textId="10AB41A6"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5CC065C7" w14:textId="0EC30998"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5C0D7542" w14:textId="04FF7795"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0B584962" w14:textId="7D08E6F0" w:rsidR="00442E70" w:rsidRPr="00224AA8" w:rsidRDefault="00442E70" w:rsidP="00442E70">
            <w:pPr>
              <w:spacing w:before="60" w:after="60"/>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vAlign w:val="bottom"/>
          </w:tcPr>
          <w:p w14:paraId="5503F75D" w14:textId="198AD15E" w:rsidR="00442E70" w:rsidRPr="00224AA8" w:rsidRDefault="00442E70" w:rsidP="00442E70">
            <w:pPr>
              <w:spacing w:before="60" w:after="60"/>
              <w:jc w:val="right"/>
              <w:rPr>
                <w:rFonts w:cs="Arial"/>
                <w:szCs w:val="20"/>
              </w:rPr>
            </w:pPr>
            <w:r>
              <w:rPr>
                <w:rFonts w:cs="Arial"/>
                <w:b/>
                <w:bCs/>
                <w:szCs w:val="20"/>
              </w:rPr>
              <w:t>1</w:t>
            </w:r>
          </w:p>
        </w:tc>
      </w:tr>
      <w:tr w:rsidR="00442E70" w:rsidRPr="00224AA8" w14:paraId="364E97A2"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6344EA45" w14:textId="77777777" w:rsidR="00442E70" w:rsidRPr="00224AA8" w:rsidRDefault="00442E70" w:rsidP="00442E70">
            <w:pPr>
              <w:spacing w:before="60" w:after="60"/>
              <w:rPr>
                <w:rFonts w:cs="Arial"/>
                <w:szCs w:val="20"/>
              </w:rPr>
            </w:pPr>
            <w:r>
              <w:rPr>
                <w:rFonts w:cs="Arial"/>
                <w:szCs w:val="20"/>
              </w:rPr>
              <w:t>Cape York Employment</w:t>
            </w:r>
          </w:p>
        </w:tc>
        <w:tc>
          <w:tcPr>
            <w:tcW w:w="938" w:type="dxa"/>
            <w:tcBorders>
              <w:top w:val="nil"/>
              <w:left w:val="nil"/>
              <w:bottom w:val="single" w:sz="4" w:space="0" w:color="auto"/>
              <w:right w:val="single" w:sz="4" w:space="0" w:color="auto"/>
            </w:tcBorders>
            <w:noWrap/>
          </w:tcPr>
          <w:p w14:paraId="65DC4D5A" w14:textId="6B8195EF"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4F90724D" w14:textId="79104DFA"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737DD06E" w14:textId="031A0EDC" w:rsidR="00442E70" w:rsidRPr="00224AA8" w:rsidRDefault="00442E70" w:rsidP="00442E70">
            <w:pPr>
              <w:spacing w:before="60" w:after="60"/>
              <w:jc w:val="right"/>
              <w:rPr>
                <w:rFonts w:cs="Arial"/>
                <w:szCs w:val="20"/>
              </w:rPr>
            </w:pPr>
            <w:r>
              <w:rPr>
                <w:rFonts w:cs="Arial"/>
                <w:szCs w:val="20"/>
              </w:rPr>
              <w:t>3</w:t>
            </w:r>
          </w:p>
        </w:tc>
        <w:tc>
          <w:tcPr>
            <w:tcW w:w="938" w:type="dxa"/>
            <w:tcBorders>
              <w:top w:val="nil"/>
              <w:left w:val="nil"/>
              <w:bottom w:val="single" w:sz="4" w:space="0" w:color="auto"/>
              <w:right w:val="single" w:sz="4" w:space="0" w:color="auto"/>
            </w:tcBorders>
            <w:noWrap/>
          </w:tcPr>
          <w:p w14:paraId="3CB211B5" w14:textId="60226040" w:rsidR="00442E70" w:rsidRPr="00224AA8" w:rsidRDefault="00442E70" w:rsidP="00442E70">
            <w:pPr>
              <w:spacing w:before="60" w:after="60"/>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vAlign w:val="bottom"/>
          </w:tcPr>
          <w:p w14:paraId="165E2F70" w14:textId="4493ED37" w:rsidR="00442E70" w:rsidRPr="00224AA8" w:rsidRDefault="00442E70" w:rsidP="00442E70">
            <w:pPr>
              <w:spacing w:before="60" w:after="60"/>
              <w:jc w:val="right"/>
              <w:rPr>
                <w:rFonts w:cs="Arial"/>
                <w:szCs w:val="20"/>
              </w:rPr>
            </w:pPr>
            <w:r>
              <w:rPr>
                <w:rFonts w:cs="Arial"/>
                <w:b/>
                <w:bCs/>
                <w:szCs w:val="20"/>
              </w:rPr>
              <w:t>4</w:t>
            </w:r>
          </w:p>
        </w:tc>
      </w:tr>
      <w:tr w:rsidR="00442E70" w:rsidRPr="00224AA8" w14:paraId="76B75D17"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001BE152" w14:textId="77777777" w:rsidR="00442E70" w:rsidRPr="00224AA8" w:rsidRDefault="00442E70" w:rsidP="00442E70">
            <w:pPr>
              <w:spacing w:before="60" w:after="60"/>
              <w:rPr>
                <w:rFonts w:cs="Arial"/>
                <w:szCs w:val="20"/>
              </w:rPr>
            </w:pPr>
            <w:r>
              <w:rPr>
                <w:rFonts w:cs="Arial"/>
                <w:szCs w:val="20"/>
              </w:rPr>
              <w:t>Coen Regional Aboriginal Corporation</w:t>
            </w:r>
          </w:p>
        </w:tc>
        <w:tc>
          <w:tcPr>
            <w:tcW w:w="938" w:type="dxa"/>
            <w:tcBorders>
              <w:top w:val="nil"/>
              <w:left w:val="nil"/>
              <w:bottom w:val="single" w:sz="4" w:space="0" w:color="auto"/>
              <w:right w:val="single" w:sz="4" w:space="0" w:color="auto"/>
            </w:tcBorders>
            <w:noWrap/>
          </w:tcPr>
          <w:p w14:paraId="489FB47F" w14:textId="7202151E"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31DC3E56" w14:textId="3ECE7532"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69503511" w14:textId="7E82E6F4" w:rsidR="00442E70" w:rsidRPr="00224AA8" w:rsidRDefault="00442E70" w:rsidP="00442E70">
            <w:pPr>
              <w:spacing w:before="60" w:after="60"/>
              <w:jc w:val="right"/>
              <w:rPr>
                <w:rFonts w:cs="Arial"/>
                <w:szCs w:val="20"/>
              </w:rPr>
            </w:pPr>
            <w:r>
              <w:rPr>
                <w:rFonts w:cs="Arial"/>
                <w:szCs w:val="20"/>
              </w:rPr>
              <w:t>2</w:t>
            </w:r>
          </w:p>
        </w:tc>
        <w:tc>
          <w:tcPr>
            <w:tcW w:w="938" w:type="dxa"/>
            <w:tcBorders>
              <w:top w:val="nil"/>
              <w:left w:val="nil"/>
              <w:bottom w:val="single" w:sz="4" w:space="0" w:color="auto"/>
              <w:right w:val="single" w:sz="4" w:space="0" w:color="auto"/>
            </w:tcBorders>
            <w:noWrap/>
          </w:tcPr>
          <w:p w14:paraId="4510C67C" w14:textId="69C9FA26" w:rsidR="00442E70" w:rsidRPr="00224AA8" w:rsidRDefault="00442E70" w:rsidP="00442E70">
            <w:pPr>
              <w:spacing w:before="60" w:after="60"/>
              <w:jc w:val="right"/>
              <w:rPr>
                <w:rFonts w:cs="Arial"/>
                <w:szCs w:val="20"/>
              </w:rPr>
            </w:pPr>
            <w:r>
              <w:rPr>
                <w:rFonts w:cs="Arial"/>
                <w:szCs w:val="20"/>
              </w:rPr>
              <w:t>3</w:t>
            </w:r>
          </w:p>
        </w:tc>
        <w:tc>
          <w:tcPr>
            <w:tcW w:w="938" w:type="dxa"/>
            <w:tcBorders>
              <w:top w:val="nil"/>
              <w:left w:val="nil"/>
              <w:bottom w:val="single" w:sz="4" w:space="0" w:color="auto"/>
              <w:right w:val="single" w:sz="4" w:space="0" w:color="auto"/>
            </w:tcBorders>
            <w:vAlign w:val="bottom"/>
          </w:tcPr>
          <w:p w14:paraId="2F9B5FCF" w14:textId="6682BF67" w:rsidR="00442E70" w:rsidRPr="00224AA8" w:rsidRDefault="00442E70" w:rsidP="00442E70">
            <w:pPr>
              <w:spacing w:before="60" w:after="60"/>
              <w:jc w:val="right"/>
              <w:rPr>
                <w:rFonts w:cs="Arial"/>
                <w:szCs w:val="20"/>
              </w:rPr>
            </w:pPr>
            <w:r>
              <w:rPr>
                <w:rFonts w:cs="Arial"/>
                <w:b/>
                <w:bCs/>
                <w:szCs w:val="20"/>
              </w:rPr>
              <w:t>5</w:t>
            </w:r>
          </w:p>
        </w:tc>
      </w:tr>
      <w:tr w:rsidR="00442E70" w:rsidRPr="00224AA8" w14:paraId="79D290AB"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737B33D6" w14:textId="77777777" w:rsidR="00442E70" w:rsidRPr="00224AA8" w:rsidRDefault="00442E70" w:rsidP="00442E70">
            <w:pPr>
              <w:spacing w:before="60" w:after="60"/>
              <w:rPr>
                <w:rFonts w:cs="Arial"/>
                <w:szCs w:val="20"/>
              </w:rPr>
            </w:pPr>
            <w:r>
              <w:rPr>
                <w:rFonts w:cs="Arial"/>
                <w:szCs w:val="20"/>
              </w:rPr>
              <w:t>Cooktown District Community Centre</w:t>
            </w:r>
          </w:p>
        </w:tc>
        <w:tc>
          <w:tcPr>
            <w:tcW w:w="938" w:type="dxa"/>
            <w:tcBorders>
              <w:top w:val="nil"/>
              <w:left w:val="nil"/>
              <w:bottom w:val="single" w:sz="4" w:space="0" w:color="auto"/>
              <w:right w:val="single" w:sz="4" w:space="0" w:color="auto"/>
            </w:tcBorders>
            <w:noWrap/>
          </w:tcPr>
          <w:p w14:paraId="58809BF1" w14:textId="2E005914" w:rsidR="00442E70" w:rsidRPr="00224AA8" w:rsidRDefault="00442E70" w:rsidP="00442E70">
            <w:pPr>
              <w:spacing w:before="60" w:after="60"/>
              <w:jc w:val="right"/>
              <w:rPr>
                <w:rFonts w:cs="Arial"/>
                <w:szCs w:val="20"/>
              </w:rPr>
            </w:pPr>
            <w:r>
              <w:rPr>
                <w:rFonts w:cs="Arial"/>
                <w:szCs w:val="20"/>
              </w:rPr>
              <w:t>3</w:t>
            </w:r>
          </w:p>
        </w:tc>
        <w:tc>
          <w:tcPr>
            <w:tcW w:w="938" w:type="dxa"/>
            <w:tcBorders>
              <w:top w:val="nil"/>
              <w:left w:val="nil"/>
              <w:bottom w:val="single" w:sz="4" w:space="0" w:color="auto"/>
              <w:right w:val="single" w:sz="4" w:space="0" w:color="auto"/>
            </w:tcBorders>
            <w:noWrap/>
          </w:tcPr>
          <w:p w14:paraId="58EB487D" w14:textId="0E96AF6B"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5548B861" w14:textId="7E0E8E54" w:rsidR="00442E70" w:rsidRPr="00224AA8" w:rsidRDefault="00442E70" w:rsidP="00442E70">
            <w:pPr>
              <w:spacing w:before="60" w:after="60"/>
              <w:jc w:val="right"/>
              <w:rPr>
                <w:rFonts w:cs="Arial"/>
                <w:szCs w:val="20"/>
              </w:rPr>
            </w:pPr>
            <w:r>
              <w:rPr>
                <w:rFonts w:cs="Arial"/>
                <w:szCs w:val="20"/>
              </w:rPr>
              <w:t>9</w:t>
            </w:r>
          </w:p>
        </w:tc>
        <w:tc>
          <w:tcPr>
            <w:tcW w:w="938" w:type="dxa"/>
            <w:tcBorders>
              <w:top w:val="nil"/>
              <w:left w:val="nil"/>
              <w:bottom w:val="single" w:sz="4" w:space="0" w:color="auto"/>
              <w:right w:val="single" w:sz="4" w:space="0" w:color="auto"/>
            </w:tcBorders>
            <w:noWrap/>
          </w:tcPr>
          <w:p w14:paraId="61D63A54" w14:textId="66E20448" w:rsidR="00442E70" w:rsidRPr="00224AA8" w:rsidRDefault="00442E70" w:rsidP="00442E70">
            <w:pPr>
              <w:spacing w:before="60" w:after="60"/>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vAlign w:val="bottom"/>
          </w:tcPr>
          <w:p w14:paraId="7288813A" w14:textId="1A18CD20" w:rsidR="00442E70" w:rsidRPr="00224AA8" w:rsidRDefault="00442E70" w:rsidP="00442E70">
            <w:pPr>
              <w:spacing w:before="60" w:after="60"/>
              <w:jc w:val="right"/>
              <w:rPr>
                <w:rFonts w:cs="Arial"/>
                <w:szCs w:val="20"/>
              </w:rPr>
            </w:pPr>
            <w:r>
              <w:rPr>
                <w:rFonts w:cs="Arial"/>
                <w:b/>
                <w:bCs/>
                <w:szCs w:val="20"/>
              </w:rPr>
              <w:t>13</w:t>
            </w:r>
          </w:p>
        </w:tc>
      </w:tr>
      <w:tr w:rsidR="00442E70" w:rsidRPr="00224AA8" w14:paraId="508E13BF"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1E04E10A" w14:textId="77777777" w:rsidR="00442E70" w:rsidRPr="00224AA8" w:rsidRDefault="00442E70" w:rsidP="00442E70">
            <w:pPr>
              <w:spacing w:before="60" w:after="60"/>
              <w:rPr>
                <w:rFonts w:cs="Arial"/>
                <w:szCs w:val="20"/>
              </w:rPr>
            </w:pPr>
            <w:r>
              <w:rPr>
                <w:rFonts w:cs="Arial"/>
                <w:szCs w:val="20"/>
              </w:rPr>
              <w:t>Gungarde (Family Wellbeing Services)</w:t>
            </w:r>
          </w:p>
        </w:tc>
        <w:tc>
          <w:tcPr>
            <w:tcW w:w="938" w:type="dxa"/>
            <w:tcBorders>
              <w:top w:val="nil"/>
              <w:left w:val="nil"/>
              <w:bottom w:val="single" w:sz="4" w:space="0" w:color="auto"/>
              <w:right w:val="single" w:sz="4" w:space="0" w:color="auto"/>
            </w:tcBorders>
            <w:noWrap/>
          </w:tcPr>
          <w:p w14:paraId="3C3A0C48" w14:textId="48F8308A"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19F60338" w14:textId="47B1F1E1"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0DE645C0" w14:textId="5B2BBCF9"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560E9863" w14:textId="14C96F97" w:rsidR="00442E70" w:rsidRPr="00224AA8" w:rsidRDefault="00442E70" w:rsidP="00442E70">
            <w:pPr>
              <w:spacing w:before="60" w:after="60"/>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vAlign w:val="bottom"/>
          </w:tcPr>
          <w:p w14:paraId="08F8EC4E" w14:textId="1176630D" w:rsidR="00442E70" w:rsidRPr="00224AA8" w:rsidRDefault="00442E70" w:rsidP="00442E70">
            <w:pPr>
              <w:spacing w:before="60" w:after="60"/>
              <w:jc w:val="right"/>
              <w:rPr>
                <w:rFonts w:cs="Arial"/>
                <w:szCs w:val="20"/>
              </w:rPr>
            </w:pPr>
            <w:r>
              <w:rPr>
                <w:rFonts w:cs="Arial"/>
                <w:b/>
                <w:bCs/>
                <w:szCs w:val="20"/>
              </w:rPr>
              <w:t>1</w:t>
            </w:r>
          </w:p>
        </w:tc>
      </w:tr>
      <w:tr w:rsidR="00442E70" w:rsidRPr="00224AA8" w14:paraId="57DA890D"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7598750E" w14:textId="77777777" w:rsidR="00442E70" w:rsidRPr="00224AA8" w:rsidRDefault="00442E70" w:rsidP="00442E70">
            <w:pPr>
              <w:spacing w:before="60" w:after="60"/>
              <w:rPr>
                <w:rFonts w:cs="Arial"/>
                <w:szCs w:val="20"/>
              </w:rPr>
            </w:pPr>
            <w:r>
              <w:rPr>
                <w:rFonts w:cs="Arial"/>
                <w:szCs w:val="20"/>
              </w:rPr>
              <w:t>MPower</w:t>
            </w:r>
          </w:p>
        </w:tc>
        <w:tc>
          <w:tcPr>
            <w:tcW w:w="938" w:type="dxa"/>
            <w:tcBorders>
              <w:top w:val="nil"/>
              <w:left w:val="nil"/>
              <w:bottom w:val="single" w:sz="4" w:space="0" w:color="auto"/>
              <w:right w:val="single" w:sz="4" w:space="0" w:color="auto"/>
            </w:tcBorders>
            <w:noWrap/>
          </w:tcPr>
          <w:p w14:paraId="74CF7EC9" w14:textId="17CA6B8B" w:rsidR="00442E70" w:rsidRPr="00224AA8" w:rsidRDefault="00442E70" w:rsidP="00442E70">
            <w:pPr>
              <w:spacing w:before="60" w:after="60"/>
              <w:jc w:val="right"/>
              <w:rPr>
                <w:rFonts w:cs="Arial"/>
                <w:szCs w:val="20"/>
              </w:rPr>
            </w:pPr>
            <w:r>
              <w:rPr>
                <w:rFonts w:cs="Arial"/>
                <w:szCs w:val="20"/>
              </w:rPr>
              <w:t>2</w:t>
            </w:r>
          </w:p>
        </w:tc>
        <w:tc>
          <w:tcPr>
            <w:tcW w:w="938" w:type="dxa"/>
            <w:tcBorders>
              <w:top w:val="nil"/>
              <w:left w:val="nil"/>
              <w:bottom w:val="single" w:sz="4" w:space="0" w:color="auto"/>
              <w:right w:val="single" w:sz="4" w:space="0" w:color="auto"/>
            </w:tcBorders>
            <w:noWrap/>
          </w:tcPr>
          <w:p w14:paraId="573FEA04" w14:textId="6822C46A" w:rsidR="00442E70" w:rsidRPr="00224AA8" w:rsidRDefault="00442E70" w:rsidP="00442E70">
            <w:pPr>
              <w:spacing w:before="60" w:after="60"/>
              <w:jc w:val="right"/>
              <w:rPr>
                <w:rFonts w:cs="Arial"/>
                <w:szCs w:val="20"/>
              </w:rPr>
            </w:pPr>
            <w:r>
              <w:rPr>
                <w:rFonts w:cs="Arial"/>
                <w:szCs w:val="20"/>
              </w:rPr>
              <w:t>9</w:t>
            </w:r>
          </w:p>
        </w:tc>
        <w:tc>
          <w:tcPr>
            <w:tcW w:w="938" w:type="dxa"/>
            <w:tcBorders>
              <w:top w:val="nil"/>
              <w:left w:val="nil"/>
              <w:bottom w:val="single" w:sz="4" w:space="0" w:color="auto"/>
              <w:right w:val="single" w:sz="4" w:space="0" w:color="auto"/>
            </w:tcBorders>
            <w:noWrap/>
          </w:tcPr>
          <w:p w14:paraId="4A01852D" w14:textId="665AAAFF" w:rsidR="00442E70" w:rsidRPr="00224AA8" w:rsidRDefault="00442E70" w:rsidP="00442E70">
            <w:pPr>
              <w:spacing w:before="60" w:after="60"/>
              <w:jc w:val="right"/>
              <w:rPr>
                <w:rFonts w:cs="Arial"/>
                <w:szCs w:val="20"/>
              </w:rPr>
            </w:pPr>
            <w:r>
              <w:rPr>
                <w:rFonts w:cs="Arial"/>
                <w:szCs w:val="20"/>
              </w:rPr>
              <w:t>30</w:t>
            </w:r>
          </w:p>
        </w:tc>
        <w:tc>
          <w:tcPr>
            <w:tcW w:w="938" w:type="dxa"/>
            <w:tcBorders>
              <w:top w:val="nil"/>
              <w:left w:val="nil"/>
              <w:bottom w:val="single" w:sz="4" w:space="0" w:color="auto"/>
              <w:right w:val="single" w:sz="4" w:space="0" w:color="auto"/>
            </w:tcBorders>
            <w:noWrap/>
          </w:tcPr>
          <w:p w14:paraId="375EF480" w14:textId="37387BE7" w:rsidR="00442E70" w:rsidRPr="00224AA8" w:rsidRDefault="00442E70" w:rsidP="00442E70">
            <w:pPr>
              <w:spacing w:before="60" w:after="60"/>
              <w:jc w:val="right"/>
              <w:rPr>
                <w:rFonts w:cs="Arial"/>
                <w:szCs w:val="20"/>
              </w:rPr>
            </w:pPr>
            <w:r>
              <w:rPr>
                <w:rFonts w:cs="Arial"/>
                <w:szCs w:val="20"/>
              </w:rPr>
              <w:t>21</w:t>
            </w:r>
          </w:p>
        </w:tc>
        <w:tc>
          <w:tcPr>
            <w:tcW w:w="938" w:type="dxa"/>
            <w:tcBorders>
              <w:top w:val="nil"/>
              <w:left w:val="nil"/>
              <w:bottom w:val="single" w:sz="4" w:space="0" w:color="auto"/>
              <w:right w:val="single" w:sz="4" w:space="0" w:color="auto"/>
            </w:tcBorders>
            <w:vAlign w:val="bottom"/>
          </w:tcPr>
          <w:p w14:paraId="50D6B495" w14:textId="586DC6D7" w:rsidR="00442E70" w:rsidRPr="00224AA8" w:rsidRDefault="00442E70" w:rsidP="00442E70">
            <w:pPr>
              <w:spacing w:before="60" w:after="60"/>
              <w:jc w:val="right"/>
              <w:rPr>
                <w:rFonts w:cs="Arial"/>
                <w:szCs w:val="20"/>
              </w:rPr>
            </w:pPr>
            <w:r>
              <w:rPr>
                <w:rFonts w:cs="Arial"/>
                <w:b/>
                <w:bCs/>
                <w:szCs w:val="20"/>
              </w:rPr>
              <w:t>62</w:t>
            </w:r>
          </w:p>
        </w:tc>
      </w:tr>
      <w:tr w:rsidR="00442E70" w:rsidRPr="00224AA8" w14:paraId="5EE1FBA3"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75C89827" w14:textId="77777777" w:rsidR="00442E70" w:rsidRPr="00224AA8" w:rsidRDefault="00442E70" w:rsidP="00442E70">
            <w:pPr>
              <w:spacing w:before="60" w:after="60"/>
              <w:rPr>
                <w:rFonts w:cs="Arial"/>
                <w:szCs w:val="20"/>
              </w:rPr>
            </w:pPr>
            <w:r w:rsidRPr="00BD4BEC">
              <w:rPr>
                <w:rFonts w:cs="Arial"/>
                <w:szCs w:val="20"/>
              </w:rPr>
              <w:t>RAATSICC</w:t>
            </w:r>
          </w:p>
        </w:tc>
        <w:tc>
          <w:tcPr>
            <w:tcW w:w="938" w:type="dxa"/>
            <w:tcBorders>
              <w:top w:val="nil"/>
              <w:left w:val="nil"/>
              <w:bottom w:val="single" w:sz="4" w:space="0" w:color="auto"/>
              <w:right w:val="single" w:sz="4" w:space="0" w:color="auto"/>
            </w:tcBorders>
            <w:noWrap/>
          </w:tcPr>
          <w:p w14:paraId="2B82079B" w14:textId="5F776CF2"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366A8D77" w14:textId="7BA67D93"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30C1E500" w14:textId="694B25B2" w:rsidR="00442E70" w:rsidRPr="00224AA8" w:rsidRDefault="00442E70" w:rsidP="00442E70">
            <w:pPr>
              <w:spacing w:before="60" w:after="60"/>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noWrap/>
          </w:tcPr>
          <w:p w14:paraId="197AF184" w14:textId="1C0F0F3B"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vAlign w:val="bottom"/>
          </w:tcPr>
          <w:p w14:paraId="1C90177E" w14:textId="7C8CCEFF" w:rsidR="00442E70" w:rsidRPr="00224AA8" w:rsidRDefault="00442E70" w:rsidP="00442E70">
            <w:pPr>
              <w:spacing w:before="60" w:after="60"/>
              <w:jc w:val="right"/>
              <w:rPr>
                <w:rFonts w:cs="Arial"/>
                <w:szCs w:val="20"/>
              </w:rPr>
            </w:pPr>
            <w:r>
              <w:rPr>
                <w:rFonts w:cs="Arial"/>
                <w:b/>
                <w:bCs/>
                <w:szCs w:val="20"/>
              </w:rPr>
              <w:t>1</w:t>
            </w:r>
          </w:p>
        </w:tc>
      </w:tr>
      <w:tr w:rsidR="00442E70" w:rsidRPr="00224AA8" w14:paraId="4CEB4EF8"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1E7F8544" w14:textId="77777777" w:rsidR="00442E70" w:rsidRPr="00224AA8" w:rsidRDefault="00442E70" w:rsidP="00442E70">
            <w:pPr>
              <w:spacing w:before="60" w:after="60"/>
              <w:rPr>
                <w:rFonts w:cs="Arial"/>
                <w:szCs w:val="20"/>
              </w:rPr>
            </w:pPr>
            <w:r>
              <w:rPr>
                <w:rFonts w:cs="Arial"/>
                <w:szCs w:val="20"/>
              </w:rPr>
              <w:t>Royal Flying Doctor Service</w:t>
            </w:r>
          </w:p>
        </w:tc>
        <w:tc>
          <w:tcPr>
            <w:tcW w:w="938" w:type="dxa"/>
            <w:tcBorders>
              <w:top w:val="nil"/>
              <w:left w:val="nil"/>
              <w:bottom w:val="single" w:sz="4" w:space="0" w:color="auto"/>
              <w:right w:val="single" w:sz="4" w:space="0" w:color="auto"/>
            </w:tcBorders>
            <w:noWrap/>
          </w:tcPr>
          <w:p w14:paraId="1D284E82" w14:textId="05A37A8C"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2E588BAC" w14:textId="1CA4BD40"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15F3130A" w14:textId="6307A241" w:rsidR="00442E70" w:rsidRPr="00224AA8"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292E1A09" w14:textId="128290B5" w:rsidR="00442E70" w:rsidRPr="00224AA8" w:rsidRDefault="00442E70" w:rsidP="00442E70">
            <w:pPr>
              <w:spacing w:before="60" w:after="60"/>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vAlign w:val="bottom"/>
          </w:tcPr>
          <w:p w14:paraId="68A995F9" w14:textId="3EDA9E4C" w:rsidR="00442E70" w:rsidRPr="00224AA8" w:rsidRDefault="00442E70" w:rsidP="00442E70">
            <w:pPr>
              <w:spacing w:before="60" w:after="60"/>
              <w:jc w:val="right"/>
              <w:rPr>
                <w:rFonts w:cs="Arial"/>
                <w:szCs w:val="20"/>
              </w:rPr>
            </w:pPr>
            <w:r>
              <w:rPr>
                <w:rFonts w:cs="Arial"/>
                <w:b/>
                <w:bCs/>
                <w:szCs w:val="20"/>
              </w:rPr>
              <w:t>1</w:t>
            </w:r>
          </w:p>
        </w:tc>
      </w:tr>
      <w:tr w:rsidR="00442E70" w:rsidRPr="00224AA8" w14:paraId="5F486A64"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7A414DF1" w14:textId="77777777" w:rsidR="00442E70" w:rsidRPr="00224AA8" w:rsidRDefault="00442E70" w:rsidP="00442E70">
            <w:pPr>
              <w:spacing w:before="60" w:after="60"/>
              <w:rPr>
                <w:rFonts w:cs="Arial"/>
                <w:szCs w:val="20"/>
              </w:rPr>
            </w:pPr>
            <w:r>
              <w:rPr>
                <w:rFonts w:cs="Arial"/>
                <w:szCs w:val="20"/>
              </w:rPr>
              <w:t>School Attendance Officer</w:t>
            </w:r>
          </w:p>
        </w:tc>
        <w:tc>
          <w:tcPr>
            <w:tcW w:w="938" w:type="dxa"/>
            <w:tcBorders>
              <w:top w:val="nil"/>
              <w:left w:val="nil"/>
              <w:bottom w:val="single" w:sz="4" w:space="0" w:color="auto"/>
              <w:right w:val="single" w:sz="4" w:space="0" w:color="auto"/>
            </w:tcBorders>
            <w:noWrap/>
          </w:tcPr>
          <w:p w14:paraId="36580C30" w14:textId="2B4F6698" w:rsidR="00442E70" w:rsidRPr="00224AA8" w:rsidRDefault="00442E70" w:rsidP="00442E70">
            <w:pPr>
              <w:spacing w:before="60" w:after="60"/>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noWrap/>
          </w:tcPr>
          <w:p w14:paraId="6AD86E2B" w14:textId="76CB8F50" w:rsidR="00442E70" w:rsidRPr="00224AA8" w:rsidRDefault="00442E70" w:rsidP="00442E70">
            <w:pPr>
              <w:spacing w:before="60" w:after="60"/>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noWrap/>
          </w:tcPr>
          <w:p w14:paraId="0C075492" w14:textId="675BBB3E" w:rsidR="00442E70" w:rsidRPr="00224AA8" w:rsidRDefault="00442E70" w:rsidP="00442E70">
            <w:pPr>
              <w:spacing w:before="60" w:after="60"/>
              <w:jc w:val="right"/>
              <w:rPr>
                <w:rFonts w:cs="Arial"/>
                <w:szCs w:val="20"/>
              </w:rPr>
            </w:pPr>
            <w:r>
              <w:rPr>
                <w:rFonts w:cs="Arial"/>
                <w:szCs w:val="20"/>
              </w:rPr>
              <w:t>13</w:t>
            </w:r>
          </w:p>
        </w:tc>
        <w:tc>
          <w:tcPr>
            <w:tcW w:w="938" w:type="dxa"/>
            <w:tcBorders>
              <w:top w:val="nil"/>
              <w:left w:val="nil"/>
              <w:bottom w:val="single" w:sz="4" w:space="0" w:color="auto"/>
              <w:right w:val="single" w:sz="4" w:space="0" w:color="auto"/>
            </w:tcBorders>
            <w:noWrap/>
          </w:tcPr>
          <w:p w14:paraId="10441CB7" w14:textId="235008E7" w:rsidR="00442E70" w:rsidRPr="00224AA8" w:rsidRDefault="00442E70" w:rsidP="00442E70">
            <w:pPr>
              <w:spacing w:before="60" w:after="60"/>
              <w:jc w:val="right"/>
              <w:rPr>
                <w:rFonts w:cs="Arial"/>
                <w:szCs w:val="20"/>
              </w:rPr>
            </w:pPr>
            <w:r>
              <w:rPr>
                <w:rFonts w:cs="Arial"/>
                <w:szCs w:val="20"/>
              </w:rPr>
              <w:t>10</w:t>
            </w:r>
          </w:p>
        </w:tc>
        <w:tc>
          <w:tcPr>
            <w:tcW w:w="938" w:type="dxa"/>
            <w:tcBorders>
              <w:top w:val="nil"/>
              <w:left w:val="nil"/>
              <w:bottom w:val="single" w:sz="4" w:space="0" w:color="auto"/>
              <w:right w:val="single" w:sz="4" w:space="0" w:color="auto"/>
            </w:tcBorders>
            <w:vAlign w:val="bottom"/>
          </w:tcPr>
          <w:p w14:paraId="200E4A63" w14:textId="4D88B5E4" w:rsidR="00442E70" w:rsidRPr="00224AA8" w:rsidRDefault="00442E70" w:rsidP="00442E70">
            <w:pPr>
              <w:spacing w:before="60" w:after="60"/>
              <w:jc w:val="right"/>
              <w:rPr>
                <w:rFonts w:cs="Arial"/>
                <w:szCs w:val="20"/>
              </w:rPr>
            </w:pPr>
            <w:r>
              <w:rPr>
                <w:rFonts w:cs="Arial"/>
                <w:b/>
                <w:bCs/>
                <w:szCs w:val="20"/>
              </w:rPr>
              <w:t>25</w:t>
            </w:r>
          </w:p>
        </w:tc>
      </w:tr>
      <w:tr w:rsidR="00442E70" w:rsidRPr="00224AA8" w14:paraId="32E3D929"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78266188" w14:textId="77777777" w:rsidR="00442E70" w:rsidRDefault="00442E70" w:rsidP="00442E70">
            <w:pPr>
              <w:spacing w:before="60" w:after="60"/>
              <w:rPr>
                <w:rFonts w:cs="Arial"/>
                <w:szCs w:val="20"/>
              </w:rPr>
            </w:pPr>
            <w:r>
              <w:rPr>
                <w:rFonts w:cs="Arial"/>
                <w:szCs w:val="20"/>
              </w:rPr>
              <w:t>TCHHS – Cape Mental Health</w:t>
            </w:r>
          </w:p>
        </w:tc>
        <w:tc>
          <w:tcPr>
            <w:tcW w:w="938" w:type="dxa"/>
            <w:tcBorders>
              <w:top w:val="nil"/>
              <w:left w:val="nil"/>
              <w:bottom w:val="single" w:sz="4" w:space="0" w:color="auto"/>
              <w:right w:val="single" w:sz="4" w:space="0" w:color="auto"/>
            </w:tcBorders>
            <w:noWrap/>
          </w:tcPr>
          <w:p w14:paraId="73788B20" w14:textId="5022F346" w:rsidR="00442E70" w:rsidRDefault="00442E70" w:rsidP="00442E70">
            <w:pPr>
              <w:spacing w:before="60" w:after="60"/>
              <w:jc w:val="right"/>
              <w:rPr>
                <w:rFonts w:cs="Arial"/>
                <w:szCs w:val="20"/>
              </w:rPr>
            </w:pPr>
            <w:r>
              <w:rPr>
                <w:rFonts w:cs="Arial"/>
                <w:szCs w:val="20"/>
              </w:rPr>
              <w:t>1</w:t>
            </w:r>
          </w:p>
        </w:tc>
        <w:tc>
          <w:tcPr>
            <w:tcW w:w="938" w:type="dxa"/>
            <w:tcBorders>
              <w:top w:val="nil"/>
              <w:left w:val="nil"/>
              <w:bottom w:val="single" w:sz="4" w:space="0" w:color="auto"/>
              <w:right w:val="single" w:sz="4" w:space="0" w:color="auto"/>
            </w:tcBorders>
            <w:noWrap/>
          </w:tcPr>
          <w:p w14:paraId="727E3A0A" w14:textId="6FE34845" w:rsidR="00442E70"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6F8595BB" w14:textId="44E3E529" w:rsidR="00442E70" w:rsidRDefault="00442E70" w:rsidP="00442E70">
            <w:pPr>
              <w:spacing w:before="60" w:after="60"/>
              <w:jc w:val="right"/>
              <w:rPr>
                <w:rFonts w:cs="Arial"/>
                <w:szCs w:val="20"/>
              </w:rPr>
            </w:pPr>
            <w:r>
              <w:rPr>
                <w:rFonts w:cs="Arial"/>
                <w:szCs w:val="20"/>
              </w:rPr>
              <w:t>0</w:t>
            </w:r>
          </w:p>
        </w:tc>
        <w:tc>
          <w:tcPr>
            <w:tcW w:w="938" w:type="dxa"/>
            <w:tcBorders>
              <w:top w:val="nil"/>
              <w:left w:val="nil"/>
              <w:bottom w:val="single" w:sz="4" w:space="0" w:color="auto"/>
              <w:right w:val="single" w:sz="4" w:space="0" w:color="auto"/>
            </w:tcBorders>
            <w:noWrap/>
          </w:tcPr>
          <w:p w14:paraId="72CE09C3" w14:textId="761081F7" w:rsidR="00442E70" w:rsidRDefault="00442E70" w:rsidP="00442E70">
            <w:pPr>
              <w:spacing w:before="60" w:after="60"/>
              <w:jc w:val="right"/>
              <w:rPr>
                <w:rFonts w:cs="Arial"/>
                <w:szCs w:val="20"/>
              </w:rPr>
            </w:pPr>
            <w:r>
              <w:rPr>
                <w:rFonts w:cs="Arial"/>
                <w:szCs w:val="20"/>
              </w:rPr>
              <w:t>2</w:t>
            </w:r>
          </w:p>
        </w:tc>
        <w:tc>
          <w:tcPr>
            <w:tcW w:w="938" w:type="dxa"/>
            <w:tcBorders>
              <w:top w:val="nil"/>
              <w:left w:val="nil"/>
              <w:bottom w:val="single" w:sz="4" w:space="0" w:color="auto"/>
              <w:right w:val="single" w:sz="4" w:space="0" w:color="auto"/>
            </w:tcBorders>
            <w:vAlign w:val="bottom"/>
          </w:tcPr>
          <w:p w14:paraId="65596E28" w14:textId="074E219D" w:rsidR="00442E70" w:rsidRDefault="00442E70" w:rsidP="00442E70">
            <w:pPr>
              <w:spacing w:before="60" w:after="60"/>
              <w:jc w:val="right"/>
              <w:rPr>
                <w:rFonts w:cs="Arial"/>
                <w:b/>
                <w:bCs/>
                <w:szCs w:val="20"/>
              </w:rPr>
            </w:pPr>
            <w:r>
              <w:rPr>
                <w:rFonts w:cs="Arial"/>
                <w:b/>
                <w:bCs/>
                <w:szCs w:val="20"/>
              </w:rPr>
              <w:t>3</w:t>
            </w:r>
          </w:p>
        </w:tc>
      </w:tr>
      <w:tr w:rsidR="00442E70" w:rsidRPr="00224AA8" w14:paraId="72A670DD"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6A0ED18F" w14:textId="77777777" w:rsidR="00442E70" w:rsidRPr="00224AA8" w:rsidRDefault="00442E70" w:rsidP="00442E70">
            <w:pPr>
              <w:spacing w:before="60" w:after="60"/>
              <w:rPr>
                <w:rFonts w:cs="Arial"/>
                <w:szCs w:val="20"/>
              </w:rPr>
            </w:pPr>
            <w:r>
              <w:rPr>
                <w:rFonts w:cs="Arial"/>
                <w:szCs w:val="20"/>
              </w:rPr>
              <w:t>Wellbeing Centre - Apunipima</w:t>
            </w:r>
          </w:p>
        </w:tc>
        <w:tc>
          <w:tcPr>
            <w:tcW w:w="938" w:type="dxa"/>
            <w:tcBorders>
              <w:top w:val="nil"/>
              <w:left w:val="nil"/>
              <w:bottom w:val="single" w:sz="4" w:space="0" w:color="auto"/>
              <w:right w:val="single" w:sz="4" w:space="0" w:color="auto"/>
            </w:tcBorders>
            <w:noWrap/>
          </w:tcPr>
          <w:p w14:paraId="558A48B8" w14:textId="6155715D" w:rsidR="00442E70" w:rsidRPr="00224AA8" w:rsidRDefault="00442E70" w:rsidP="00442E70">
            <w:pPr>
              <w:spacing w:before="60" w:after="60"/>
              <w:jc w:val="right"/>
              <w:rPr>
                <w:rFonts w:cs="Arial"/>
                <w:szCs w:val="20"/>
              </w:rPr>
            </w:pPr>
            <w:r>
              <w:rPr>
                <w:rFonts w:cs="Arial"/>
                <w:szCs w:val="20"/>
              </w:rPr>
              <w:t>7</w:t>
            </w:r>
          </w:p>
        </w:tc>
        <w:tc>
          <w:tcPr>
            <w:tcW w:w="938" w:type="dxa"/>
            <w:tcBorders>
              <w:top w:val="nil"/>
              <w:left w:val="nil"/>
              <w:bottom w:val="single" w:sz="4" w:space="0" w:color="auto"/>
              <w:right w:val="single" w:sz="4" w:space="0" w:color="auto"/>
            </w:tcBorders>
            <w:noWrap/>
          </w:tcPr>
          <w:p w14:paraId="351498A8" w14:textId="407A244B" w:rsidR="00442E70" w:rsidRPr="00224AA8" w:rsidRDefault="00442E70" w:rsidP="00442E70">
            <w:pPr>
              <w:spacing w:before="60" w:after="60"/>
              <w:jc w:val="right"/>
              <w:rPr>
                <w:rFonts w:cs="Arial"/>
                <w:szCs w:val="20"/>
              </w:rPr>
            </w:pPr>
            <w:r>
              <w:rPr>
                <w:rFonts w:cs="Arial"/>
                <w:szCs w:val="20"/>
              </w:rPr>
              <w:t>11</w:t>
            </w:r>
          </w:p>
        </w:tc>
        <w:tc>
          <w:tcPr>
            <w:tcW w:w="938" w:type="dxa"/>
            <w:tcBorders>
              <w:top w:val="nil"/>
              <w:left w:val="nil"/>
              <w:bottom w:val="single" w:sz="4" w:space="0" w:color="auto"/>
              <w:right w:val="single" w:sz="4" w:space="0" w:color="auto"/>
            </w:tcBorders>
            <w:noWrap/>
          </w:tcPr>
          <w:p w14:paraId="72312864" w14:textId="2DC34787" w:rsidR="00442E70" w:rsidRPr="00224AA8" w:rsidRDefault="00442E70" w:rsidP="00442E70">
            <w:pPr>
              <w:spacing w:before="60" w:after="60"/>
              <w:jc w:val="right"/>
              <w:rPr>
                <w:rFonts w:cs="Arial"/>
                <w:szCs w:val="20"/>
              </w:rPr>
            </w:pPr>
            <w:r>
              <w:rPr>
                <w:rFonts w:cs="Arial"/>
                <w:szCs w:val="20"/>
              </w:rPr>
              <w:t>31</w:t>
            </w:r>
          </w:p>
        </w:tc>
        <w:tc>
          <w:tcPr>
            <w:tcW w:w="938" w:type="dxa"/>
            <w:tcBorders>
              <w:top w:val="nil"/>
              <w:left w:val="nil"/>
              <w:bottom w:val="single" w:sz="4" w:space="0" w:color="auto"/>
              <w:right w:val="single" w:sz="4" w:space="0" w:color="auto"/>
            </w:tcBorders>
            <w:noWrap/>
          </w:tcPr>
          <w:p w14:paraId="62E7697B" w14:textId="71F9F1FF" w:rsidR="00442E70" w:rsidRPr="00224AA8" w:rsidRDefault="00442E70" w:rsidP="00442E70">
            <w:pPr>
              <w:spacing w:before="60" w:after="60"/>
              <w:jc w:val="right"/>
              <w:rPr>
                <w:rFonts w:cs="Arial"/>
                <w:szCs w:val="20"/>
              </w:rPr>
            </w:pPr>
            <w:r>
              <w:rPr>
                <w:rFonts w:cs="Arial"/>
                <w:szCs w:val="20"/>
              </w:rPr>
              <w:t>13</w:t>
            </w:r>
          </w:p>
        </w:tc>
        <w:tc>
          <w:tcPr>
            <w:tcW w:w="938" w:type="dxa"/>
            <w:tcBorders>
              <w:top w:val="nil"/>
              <w:left w:val="nil"/>
              <w:bottom w:val="single" w:sz="4" w:space="0" w:color="auto"/>
              <w:right w:val="single" w:sz="4" w:space="0" w:color="auto"/>
            </w:tcBorders>
            <w:vAlign w:val="bottom"/>
          </w:tcPr>
          <w:p w14:paraId="62C675EA" w14:textId="66310C4E" w:rsidR="00442E70" w:rsidRPr="00224AA8" w:rsidRDefault="00442E70" w:rsidP="00442E70">
            <w:pPr>
              <w:spacing w:before="60" w:after="60"/>
              <w:jc w:val="right"/>
              <w:rPr>
                <w:rFonts w:cs="Arial"/>
                <w:szCs w:val="20"/>
              </w:rPr>
            </w:pPr>
            <w:r>
              <w:rPr>
                <w:rFonts w:cs="Arial"/>
                <w:b/>
                <w:bCs/>
                <w:szCs w:val="20"/>
              </w:rPr>
              <w:t>62</w:t>
            </w:r>
          </w:p>
        </w:tc>
      </w:tr>
      <w:tr w:rsidR="00442E70" w:rsidRPr="00224AA8" w14:paraId="3E805955" w14:textId="77777777" w:rsidTr="00594D14">
        <w:trPr>
          <w:trHeight w:val="255"/>
        </w:trPr>
        <w:tc>
          <w:tcPr>
            <w:tcW w:w="3898" w:type="dxa"/>
            <w:tcBorders>
              <w:top w:val="nil"/>
              <w:left w:val="single" w:sz="4" w:space="0" w:color="auto"/>
              <w:bottom w:val="single" w:sz="4" w:space="0" w:color="auto"/>
              <w:right w:val="single" w:sz="4" w:space="0" w:color="auto"/>
            </w:tcBorders>
            <w:noWrap/>
            <w:vAlign w:val="bottom"/>
          </w:tcPr>
          <w:p w14:paraId="7644CCD6" w14:textId="77777777" w:rsidR="00442E70" w:rsidRPr="00224AA8" w:rsidRDefault="00442E70" w:rsidP="00442E70">
            <w:pPr>
              <w:spacing w:before="60" w:after="60"/>
              <w:rPr>
                <w:rFonts w:cs="Arial"/>
                <w:szCs w:val="20"/>
              </w:rPr>
            </w:pPr>
            <w:r w:rsidRPr="006D2375">
              <w:rPr>
                <w:rFonts w:cs="Arial"/>
                <w:b/>
                <w:bCs/>
                <w:szCs w:val="20"/>
              </w:rPr>
              <w:t>Total</w:t>
            </w:r>
          </w:p>
        </w:tc>
        <w:tc>
          <w:tcPr>
            <w:tcW w:w="938" w:type="dxa"/>
            <w:tcBorders>
              <w:top w:val="nil"/>
              <w:left w:val="nil"/>
              <w:bottom w:val="single" w:sz="4" w:space="0" w:color="auto"/>
              <w:right w:val="single" w:sz="4" w:space="0" w:color="auto"/>
            </w:tcBorders>
            <w:noWrap/>
          </w:tcPr>
          <w:p w14:paraId="48732600" w14:textId="7F5C2C8F" w:rsidR="00442E70" w:rsidRPr="006D2375" w:rsidRDefault="00442E70" w:rsidP="00442E70">
            <w:pPr>
              <w:spacing w:before="60" w:after="60"/>
              <w:jc w:val="right"/>
              <w:rPr>
                <w:rFonts w:cs="Arial"/>
                <w:b/>
                <w:bCs/>
                <w:szCs w:val="20"/>
              </w:rPr>
            </w:pPr>
            <w:r w:rsidRPr="006D2375">
              <w:rPr>
                <w:rFonts w:cs="Arial"/>
                <w:b/>
                <w:bCs/>
                <w:szCs w:val="20"/>
              </w:rPr>
              <w:t>14</w:t>
            </w:r>
          </w:p>
        </w:tc>
        <w:tc>
          <w:tcPr>
            <w:tcW w:w="938" w:type="dxa"/>
            <w:tcBorders>
              <w:top w:val="nil"/>
              <w:left w:val="nil"/>
              <w:bottom w:val="single" w:sz="4" w:space="0" w:color="auto"/>
              <w:right w:val="single" w:sz="4" w:space="0" w:color="auto"/>
            </w:tcBorders>
            <w:noWrap/>
          </w:tcPr>
          <w:p w14:paraId="0485BC60" w14:textId="6FCF44EE" w:rsidR="00442E70" w:rsidRPr="006D2375" w:rsidRDefault="00442E70" w:rsidP="00442E70">
            <w:pPr>
              <w:spacing w:before="60" w:after="60"/>
              <w:jc w:val="right"/>
              <w:rPr>
                <w:rFonts w:cs="Arial"/>
                <w:b/>
                <w:bCs/>
                <w:szCs w:val="20"/>
              </w:rPr>
            </w:pPr>
            <w:r w:rsidRPr="006D2375">
              <w:rPr>
                <w:rFonts w:cs="Arial"/>
                <w:b/>
                <w:bCs/>
                <w:szCs w:val="20"/>
              </w:rPr>
              <w:t>22</w:t>
            </w:r>
          </w:p>
        </w:tc>
        <w:tc>
          <w:tcPr>
            <w:tcW w:w="938" w:type="dxa"/>
            <w:tcBorders>
              <w:top w:val="nil"/>
              <w:left w:val="nil"/>
              <w:bottom w:val="single" w:sz="4" w:space="0" w:color="auto"/>
              <w:right w:val="single" w:sz="4" w:space="0" w:color="auto"/>
            </w:tcBorders>
            <w:noWrap/>
          </w:tcPr>
          <w:p w14:paraId="19985158" w14:textId="3B51C782" w:rsidR="00442E70" w:rsidRPr="006D2375" w:rsidRDefault="00442E70" w:rsidP="00442E70">
            <w:pPr>
              <w:spacing w:before="60" w:after="60"/>
              <w:jc w:val="right"/>
              <w:rPr>
                <w:rFonts w:cs="Arial"/>
                <w:b/>
                <w:bCs/>
                <w:szCs w:val="20"/>
              </w:rPr>
            </w:pPr>
            <w:r w:rsidRPr="006D2375">
              <w:rPr>
                <w:rFonts w:cs="Arial"/>
                <w:b/>
                <w:bCs/>
                <w:szCs w:val="20"/>
              </w:rPr>
              <w:t>95</w:t>
            </w:r>
          </w:p>
        </w:tc>
        <w:tc>
          <w:tcPr>
            <w:tcW w:w="938" w:type="dxa"/>
            <w:tcBorders>
              <w:top w:val="nil"/>
              <w:left w:val="nil"/>
              <w:bottom w:val="single" w:sz="4" w:space="0" w:color="auto"/>
              <w:right w:val="single" w:sz="4" w:space="0" w:color="auto"/>
            </w:tcBorders>
            <w:noWrap/>
          </w:tcPr>
          <w:p w14:paraId="037565BA" w14:textId="2F66F405" w:rsidR="00442E70" w:rsidRPr="006D2375" w:rsidRDefault="00442E70" w:rsidP="00442E70">
            <w:pPr>
              <w:spacing w:before="60" w:after="60"/>
              <w:jc w:val="right"/>
              <w:rPr>
                <w:rFonts w:cs="Arial"/>
                <w:b/>
                <w:bCs/>
                <w:szCs w:val="20"/>
              </w:rPr>
            </w:pPr>
            <w:r w:rsidRPr="006D2375">
              <w:rPr>
                <w:rFonts w:cs="Arial"/>
                <w:b/>
                <w:bCs/>
                <w:szCs w:val="20"/>
              </w:rPr>
              <w:t>55</w:t>
            </w:r>
          </w:p>
        </w:tc>
        <w:tc>
          <w:tcPr>
            <w:tcW w:w="938" w:type="dxa"/>
            <w:tcBorders>
              <w:top w:val="nil"/>
              <w:left w:val="nil"/>
              <w:bottom w:val="single" w:sz="4" w:space="0" w:color="auto"/>
              <w:right w:val="single" w:sz="4" w:space="0" w:color="auto"/>
            </w:tcBorders>
            <w:vAlign w:val="bottom"/>
          </w:tcPr>
          <w:p w14:paraId="49CC525B" w14:textId="38C37358" w:rsidR="00442E70" w:rsidRPr="006D2375" w:rsidRDefault="00442E70" w:rsidP="00442E70">
            <w:pPr>
              <w:spacing w:before="60" w:after="60"/>
              <w:jc w:val="right"/>
              <w:rPr>
                <w:rFonts w:cs="Arial"/>
                <w:b/>
                <w:bCs/>
                <w:szCs w:val="20"/>
              </w:rPr>
            </w:pPr>
            <w:r w:rsidRPr="006D2375">
              <w:rPr>
                <w:rFonts w:cs="Arial"/>
                <w:b/>
                <w:bCs/>
                <w:szCs w:val="20"/>
              </w:rPr>
              <w:t>186</w:t>
            </w:r>
          </w:p>
        </w:tc>
      </w:tr>
    </w:tbl>
    <w:p w14:paraId="5CEFD769" w14:textId="77777777" w:rsidR="006B6F53" w:rsidRPr="00224AA8" w:rsidRDefault="006B6F53" w:rsidP="006B6F53"/>
    <w:p w14:paraId="7827C68F" w14:textId="77777777" w:rsidR="006B6F53" w:rsidRPr="00224AA8" w:rsidRDefault="006B6F53" w:rsidP="006B6F53">
      <w:pPr>
        <w:pStyle w:val="Heading5"/>
      </w:pPr>
      <w:r w:rsidRPr="00224AA8">
        <w:t>Show Cause hearings are another tool available to hold clients accountable.</w:t>
      </w:r>
    </w:p>
    <w:p w14:paraId="7AFC9235" w14:textId="77777777" w:rsidR="00442E70" w:rsidRPr="00224AA8" w:rsidRDefault="00442E70" w:rsidP="00442E70">
      <w:r w:rsidRPr="00224AA8">
        <w:t>From 1 July 202</w:t>
      </w:r>
      <w:r>
        <w:t>4</w:t>
      </w:r>
      <w:r w:rsidRPr="00224AA8">
        <w:t xml:space="preserve"> to 30 June 202</w:t>
      </w:r>
      <w:r>
        <w:t>5</w:t>
      </w:r>
      <w:r w:rsidRPr="00224AA8">
        <w:t xml:space="preserve"> no Show Cause hearings were held. These hearings are intended by the FRC Act to be a formal mechanism to address non-compliance with a requirement under a case plan to attend a community support service. </w:t>
      </w:r>
    </w:p>
    <w:p w14:paraId="4681FC5B" w14:textId="77777777" w:rsidR="00442E70" w:rsidRPr="00224AA8" w:rsidRDefault="00442E70" w:rsidP="00442E70">
      <w:proofErr w:type="gramStart"/>
      <w:r w:rsidRPr="00224AA8">
        <w:t>Similar to</w:t>
      </w:r>
      <w:proofErr w:type="gramEnd"/>
      <w:r w:rsidRPr="00224AA8">
        <w:t xml:space="preserve"> the 202</w:t>
      </w:r>
      <w:r>
        <w:t>3</w:t>
      </w:r>
      <w:r w:rsidRPr="00224AA8">
        <w:t>-2</w:t>
      </w:r>
      <w:r>
        <w:t>4</w:t>
      </w:r>
      <w:r w:rsidRPr="00224AA8">
        <w:t xml:space="preserve"> reporting period, no clients were issued with a Show Cause notice to come before the Commission for non-compliance of their case plan/s due to the following:</w:t>
      </w:r>
    </w:p>
    <w:p w14:paraId="16CC8AAA" w14:textId="77777777" w:rsidR="006B6F53" w:rsidRPr="00224AA8" w:rsidRDefault="006B6F53" w:rsidP="006B6F53">
      <w:pPr>
        <w:pStyle w:val="ListParagraph"/>
        <w:numPr>
          <w:ilvl w:val="0"/>
          <w:numId w:val="19"/>
        </w:numPr>
        <w:spacing w:after="120"/>
      </w:pPr>
      <w:r w:rsidRPr="00224AA8">
        <w:t>limitations on availability of support services on the ground</w:t>
      </w:r>
    </w:p>
    <w:p w14:paraId="3FF04E7D" w14:textId="77777777" w:rsidR="006B6F53" w:rsidRPr="00224AA8" w:rsidRDefault="006B6F53" w:rsidP="006B6F53">
      <w:pPr>
        <w:pStyle w:val="ListParagraph"/>
        <w:numPr>
          <w:ilvl w:val="0"/>
          <w:numId w:val="19"/>
        </w:numPr>
        <w:spacing w:after="120"/>
      </w:pPr>
      <w:r w:rsidRPr="00224AA8">
        <w:t>capacity of support services to accept and deal with the existing number of referrals from the FRC</w:t>
      </w:r>
    </w:p>
    <w:p w14:paraId="00FFDAC5" w14:textId="1171B2D9" w:rsidR="006B6F53" w:rsidRPr="00224AA8" w:rsidRDefault="006B6F53" w:rsidP="006B6F53">
      <w:pPr>
        <w:pStyle w:val="ListParagraph"/>
        <w:numPr>
          <w:ilvl w:val="0"/>
          <w:numId w:val="19"/>
        </w:numPr>
        <w:spacing w:after="120"/>
      </w:pPr>
      <w:r w:rsidRPr="00224AA8">
        <w:t xml:space="preserve">lack of confirmation from support services in some cases that </w:t>
      </w:r>
      <w:r w:rsidR="00A26766">
        <w:t>client engagement</w:t>
      </w:r>
      <w:r w:rsidRPr="00224AA8">
        <w:t xml:space="preserve"> has been attempted</w:t>
      </w:r>
    </w:p>
    <w:p w14:paraId="7278645F" w14:textId="77777777" w:rsidR="006B6F53" w:rsidRPr="00224AA8" w:rsidRDefault="006B6F53" w:rsidP="006B6F53">
      <w:pPr>
        <w:pStyle w:val="ListParagraph"/>
        <w:numPr>
          <w:ilvl w:val="0"/>
          <w:numId w:val="19"/>
        </w:numPr>
        <w:spacing w:after="120"/>
      </w:pPr>
      <w:r w:rsidRPr="00224AA8">
        <w:t>limited, (or no) information from which to proceed on a Show Cause for non-compliance</w:t>
      </w:r>
    </w:p>
    <w:p w14:paraId="0FAF822F" w14:textId="77777777" w:rsidR="006B6F53" w:rsidRPr="00224AA8" w:rsidRDefault="006B6F53" w:rsidP="006B6F53">
      <w:pPr>
        <w:pStyle w:val="ListParagraph"/>
        <w:numPr>
          <w:ilvl w:val="0"/>
          <w:numId w:val="19"/>
        </w:numPr>
        <w:spacing w:after="120"/>
      </w:pPr>
      <w:r w:rsidRPr="00224AA8">
        <w:t>ability to implement a CIM order at 90% to address non-compliance.</w:t>
      </w:r>
    </w:p>
    <w:p w14:paraId="5B21F2DB" w14:textId="77777777" w:rsidR="006B6F53" w:rsidRDefault="006B6F53" w:rsidP="006B6F53"/>
    <w:p w14:paraId="21970785" w14:textId="77777777" w:rsidR="00442E70" w:rsidRDefault="00442E70" w:rsidP="00442E70">
      <w:r w:rsidRPr="00224AA8">
        <w:t xml:space="preserve">The need to conduct Show Cause assessments has also been diverted </w:t>
      </w:r>
      <w:proofErr w:type="gramStart"/>
      <w:r w:rsidRPr="00224AA8">
        <w:t>as a result of</w:t>
      </w:r>
      <w:proofErr w:type="gramEnd"/>
      <w:r w:rsidRPr="00224AA8">
        <w:t xml:space="preserve"> the number of clients demonstrating proactive steps to take personal accountability for their actions and commit to a journey towards self-improvement. This is demonstrated by clients entering into agreements to willingly accept referrals and be placed on a case plan, along with those self-referring community members seeking to voluntarily participate in income management and voluntary referrals.</w:t>
      </w:r>
    </w:p>
    <w:p w14:paraId="6D4C5CE3" w14:textId="77777777" w:rsidR="006B6F53" w:rsidRPr="00224AA8" w:rsidRDefault="006B6F53" w:rsidP="006B6F53">
      <w:pPr>
        <w:pStyle w:val="Heading5"/>
        <w:rPr>
          <w:sz w:val="24"/>
          <w:szCs w:val="24"/>
        </w:rPr>
      </w:pPr>
      <w:r w:rsidRPr="00224AA8">
        <w:t>Applications to amend/end agreements or orders</w:t>
      </w:r>
    </w:p>
    <w:p w14:paraId="1D15E230" w14:textId="77777777" w:rsidR="00C4523C" w:rsidRPr="00224AA8" w:rsidRDefault="00C4523C" w:rsidP="00C4523C">
      <w:r w:rsidRPr="00224AA8">
        <w:t>From 1 July 202</w:t>
      </w:r>
      <w:r>
        <w:t>4</w:t>
      </w:r>
      <w:r w:rsidRPr="00224AA8">
        <w:t xml:space="preserve"> to 30 June 202</w:t>
      </w:r>
      <w:r>
        <w:t>5</w:t>
      </w:r>
      <w:r w:rsidRPr="00224AA8">
        <w:t>, 2</w:t>
      </w:r>
      <w:r>
        <w:t>9</w:t>
      </w:r>
      <w:r w:rsidRPr="00224AA8">
        <w:t xml:space="preserve"> applications relating to 2</w:t>
      </w:r>
      <w:r>
        <w:t>5</w:t>
      </w:r>
      <w:r w:rsidRPr="00224AA8">
        <w:t xml:space="preserve"> clients (1</w:t>
      </w:r>
      <w:r>
        <w:t>8</w:t>
      </w:r>
      <w:r w:rsidRPr="00224AA8">
        <w:t xml:space="preserve"> females and </w:t>
      </w:r>
      <w:r>
        <w:t>7</w:t>
      </w:r>
      <w:r w:rsidRPr="00224AA8">
        <w:t xml:space="preserve"> males) to amend or end an agreement (including a voluntary agreement) or order were </w:t>
      </w:r>
      <w:r w:rsidRPr="00224AA8">
        <w:lastRenderedPageBreak/>
        <w:t>received. Where an amend/end application is received at the end of a financial year the decision on the application may take place in the following financial year.</w:t>
      </w:r>
    </w:p>
    <w:p w14:paraId="4A7104C4" w14:textId="77777777" w:rsidR="006B6F53" w:rsidRPr="00224AA8" w:rsidRDefault="006B6F53" w:rsidP="006B6F53">
      <w:pPr>
        <w:spacing w:after="0"/>
      </w:pPr>
    </w:p>
    <w:p w14:paraId="6CD0BEA6" w14:textId="77777777" w:rsidR="006B6F53" w:rsidRPr="00224AA8" w:rsidRDefault="006B6F53" w:rsidP="006B6F53">
      <w:pPr>
        <w:spacing w:after="0"/>
        <w:ind w:left="720" w:hanging="720"/>
        <w:rPr>
          <w:rFonts w:cs="Arial"/>
          <w:b/>
          <w:bCs/>
          <w:sz w:val="17"/>
          <w:szCs w:val="17"/>
          <w:lang w:val="en-US"/>
        </w:rPr>
      </w:pPr>
      <w:r w:rsidRPr="00224AA8">
        <w:rPr>
          <w:rFonts w:cs="Arial"/>
          <w:b/>
          <w:bCs/>
          <w:sz w:val="17"/>
          <w:szCs w:val="17"/>
          <w:lang w:val="en-US"/>
        </w:rPr>
        <w:t xml:space="preserve">Table </w:t>
      </w:r>
      <w:r>
        <w:rPr>
          <w:rFonts w:cs="Arial"/>
          <w:b/>
          <w:bCs/>
          <w:sz w:val="17"/>
          <w:szCs w:val="17"/>
          <w:lang w:val="en-US"/>
        </w:rPr>
        <w:t>10</w:t>
      </w:r>
      <w:r w:rsidRPr="00224AA8">
        <w:rPr>
          <w:rFonts w:cs="Arial"/>
          <w:b/>
          <w:bCs/>
          <w:sz w:val="17"/>
          <w:szCs w:val="17"/>
          <w:lang w:val="en-US"/>
        </w:rPr>
        <w:t xml:space="preserve">: Applications to amend or end agreements or orders by community and quarter </w:t>
      </w:r>
    </w:p>
    <w:p w14:paraId="1F2ED247" w14:textId="77777777" w:rsidR="006B6F53" w:rsidRPr="00224AA8" w:rsidRDefault="006B6F53" w:rsidP="006B6F53">
      <w:pPr>
        <w:ind w:left="720"/>
        <w:rPr>
          <w:rFonts w:cs="Arial"/>
          <w:b/>
          <w:bCs/>
          <w:sz w:val="17"/>
          <w:szCs w:val="17"/>
          <w:lang w:val="en-US"/>
        </w:rPr>
      </w:pPr>
      <w:r w:rsidRPr="00224AA8">
        <w:rPr>
          <w:rFonts w:cs="Arial"/>
          <w:b/>
          <w:bCs/>
          <w:sz w:val="17"/>
          <w:szCs w:val="17"/>
          <w:lang w:val="en-US"/>
        </w:rPr>
        <w:t>1 July 202</w:t>
      </w:r>
      <w:r>
        <w:rPr>
          <w:rFonts w:cs="Arial"/>
          <w:b/>
          <w:bCs/>
          <w:sz w:val="17"/>
          <w:szCs w:val="17"/>
          <w:lang w:val="en-US"/>
        </w:rPr>
        <w:t>4</w:t>
      </w:r>
      <w:r w:rsidRPr="00224AA8">
        <w:rPr>
          <w:rFonts w:cs="Arial"/>
          <w:b/>
          <w:bCs/>
          <w:sz w:val="17"/>
          <w:szCs w:val="17"/>
          <w:lang w:val="en-US"/>
        </w:rPr>
        <w:t xml:space="preserve"> to 30 June 202</w:t>
      </w:r>
      <w:r>
        <w:rPr>
          <w:rFonts w:cs="Arial"/>
          <w:b/>
          <w:bCs/>
          <w:sz w:val="17"/>
          <w:szCs w:val="17"/>
          <w:lang w:val="en-US"/>
        </w:rPr>
        <w:t>5</w:t>
      </w:r>
    </w:p>
    <w:tbl>
      <w:tblPr>
        <w:tblW w:w="7082" w:type="dxa"/>
        <w:tblLayout w:type="fixed"/>
        <w:tblLook w:val="04A0" w:firstRow="1" w:lastRow="0" w:firstColumn="1" w:lastColumn="0" w:noHBand="0" w:noVBand="1"/>
      </w:tblPr>
      <w:tblGrid>
        <w:gridCol w:w="2766"/>
        <w:gridCol w:w="915"/>
        <w:gridCol w:w="850"/>
        <w:gridCol w:w="851"/>
        <w:gridCol w:w="850"/>
        <w:gridCol w:w="850"/>
      </w:tblGrid>
      <w:tr w:rsidR="006B6F53" w:rsidRPr="00224AA8" w14:paraId="457792FD" w14:textId="77777777" w:rsidTr="00594D14">
        <w:trPr>
          <w:trHeight w:val="380"/>
        </w:trPr>
        <w:tc>
          <w:tcPr>
            <w:tcW w:w="276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6245BDE4" w14:textId="77777777" w:rsidR="006B6F53" w:rsidRPr="00224AA8" w:rsidRDefault="006B6F53" w:rsidP="00594D14">
            <w:pPr>
              <w:spacing w:before="60" w:after="60"/>
              <w:rPr>
                <w:b/>
                <w:bCs/>
                <w:color w:val="FFFFFF" w:themeColor="background1"/>
              </w:rPr>
            </w:pPr>
            <w:r w:rsidRPr="00224AA8">
              <w:rPr>
                <w:b/>
                <w:bCs/>
                <w:color w:val="FFFFFF" w:themeColor="background1"/>
              </w:rPr>
              <w:t>Number of applications</w:t>
            </w:r>
          </w:p>
        </w:tc>
        <w:tc>
          <w:tcPr>
            <w:tcW w:w="915" w:type="dxa"/>
            <w:tcBorders>
              <w:top w:val="single" w:sz="4" w:space="0" w:color="auto"/>
              <w:left w:val="nil"/>
              <w:bottom w:val="single" w:sz="4" w:space="0" w:color="auto"/>
              <w:right w:val="single" w:sz="4" w:space="0" w:color="auto"/>
            </w:tcBorders>
            <w:shd w:val="clear" w:color="auto" w:fill="808080" w:themeFill="background1" w:themeFillShade="80"/>
          </w:tcPr>
          <w:p w14:paraId="2892B456"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5</w:t>
            </w:r>
          </w:p>
        </w:tc>
        <w:tc>
          <w:tcPr>
            <w:tcW w:w="850" w:type="dxa"/>
            <w:tcBorders>
              <w:top w:val="single" w:sz="4" w:space="0" w:color="auto"/>
              <w:left w:val="nil"/>
              <w:bottom w:val="single" w:sz="4" w:space="0" w:color="auto"/>
              <w:right w:val="single" w:sz="4" w:space="0" w:color="auto"/>
            </w:tcBorders>
            <w:shd w:val="clear" w:color="auto" w:fill="808080" w:themeFill="background1" w:themeFillShade="80"/>
          </w:tcPr>
          <w:p w14:paraId="1F1D1F49"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6</w:t>
            </w:r>
          </w:p>
        </w:tc>
        <w:tc>
          <w:tcPr>
            <w:tcW w:w="851" w:type="dxa"/>
            <w:tcBorders>
              <w:top w:val="single" w:sz="4" w:space="0" w:color="auto"/>
              <w:left w:val="nil"/>
              <w:bottom w:val="single" w:sz="4" w:space="0" w:color="auto"/>
              <w:right w:val="single" w:sz="4" w:space="0" w:color="auto"/>
            </w:tcBorders>
            <w:shd w:val="clear" w:color="auto" w:fill="808080" w:themeFill="background1" w:themeFillShade="80"/>
          </w:tcPr>
          <w:p w14:paraId="3B45F768"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7</w:t>
            </w:r>
          </w:p>
        </w:tc>
        <w:tc>
          <w:tcPr>
            <w:tcW w:w="850" w:type="dxa"/>
            <w:tcBorders>
              <w:top w:val="single" w:sz="4" w:space="0" w:color="auto"/>
              <w:left w:val="nil"/>
              <w:bottom w:val="single" w:sz="4" w:space="0" w:color="auto"/>
              <w:right w:val="single" w:sz="4" w:space="0" w:color="auto"/>
            </w:tcBorders>
            <w:shd w:val="clear" w:color="auto" w:fill="808080" w:themeFill="background1" w:themeFillShade="80"/>
          </w:tcPr>
          <w:p w14:paraId="063119FD"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Qtr 6</w:t>
            </w:r>
            <w:r>
              <w:rPr>
                <w:b/>
                <w:bCs/>
                <w:color w:val="FFFFFF" w:themeColor="background1"/>
              </w:rPr>
              <w:t>8</w:t>
            </w:r>
          </w:p>
        </w:tc>
        <w:tc>
          <w:tcPr>
            <w:tcW w:w="850" w:type="dxa"/>
            <w:tcBorders>
              <w:top w:val="single" w:sz="4" w:space="0" w:color="auto"/>
              <w:left w:val="nil"/>
              <w:bottom w:val="single" w:sz="4" w:space="0" w:color="auto"/>
              <w:right w:val="single" w:sz="4" w:space="0" w:color="auto"/>
            </w:tcBorders>
            <w:shd w:val="clear" w:color="auto" w:fill="808080" w:themeFill="background1" w:themeFillShade="80"/>
          </w:tcPr>
          <w:p w14:paraId="24BEC425" w14:textId="77777777" w:rsidR="006B6F53" w:rsidRPr="00224AA8" w:rsidRDefault="006B6F53" w:rsidP="00594D14">
            <w:pPr>
              <w:spacing w:before="60" w:after="60"/>
              <w:jc w:val="right"/>
              <w:rPr>
                <w:b/>
                <w:bCs/>
                <w:color w:val="FFFFFF" w:themeColor="background1"/>
              </w:rPr>
            </w:pPr>
            <w:r w:rsidRPr="00224AA8">
              <w:rPr>
                <w:b/>
                <w:bCs/>
                <w:color w:val="FFFFFF" w:themeColor="background1"/>
              </w:rPr>
              <w:t>Total</w:t>
            </w:r>
          </w:p>
        </w:tc>
      </w:tr>
      <w:tr w:rsidR="00C4523C" w:rsidRPr="00224AA8" w14:paraId="7FE83AC5" w14:textId="77777777" w:rsidTr="00594D14">
        <w:trPr>
          <w:trHeight w:val="255"/>
        </w:trPr>
        <w:tc>
          <w:tcPr>
            <w:tcW w:w="2766" w:type="dxa"/>
            <w:tcBorders>
              <w:top w:val="nil"/>
              <w:left w:val="single" w:sz="4" w:space="0" w:color="auto"/>
              <w:bottom w:val="single" w:sz="4" w:space="0" w:color="auto"/>
              <w:right w:val="single" w:sz="4" w:space="0" w:color="auto"/>
            </w:tcBorders>
            <w:noWrap/>
            <w:hideMark/>
          </w:tcPr>
          <w:p w14:paraId="174EBBB2" w14:textId="77777777" w:rsidR="00C4523C" w:rsidRPr="00224AA8" w:rsidRDefault="00C4523C" w:rsidP="00C4523C">
            <w:pPr>
              <w:spacing w:before="60" w:after="60"/>
            </w:pPr>
            <w:r w:rsidRPr="00224AA8">
              <w:t>Aurukun</w:t>
            </w:r>
          </w:p>
        </w:tc>
        <w:tc>
          <w:tcPr>
            <w:tcW w:w="915" w:type="dxa"/>
            <w:tcBorders>
              <w:top w:val="nil"/>
              <w:left w:val="nil"/>
              <w:bottom w:val="single" w:sz="4" w:space="0" w:color="auto"/>
              <w:right w:val="single" w:sz="4" w:space="0" w:color="auto"/>
            </w:tcBorders>
            <w:noWrap/>
          </w:tcPr>
          <w:p w14:paraId="42834F97" w14:textId="5C763E34" w:rsidR="00C4523C" w:rsidRPr="00FC4B0F" w:rsidRDefault="00C4523C" w:rsidP="00C4523C">
            <w:pPr>
              <w:spacing w:before="60" w:after="60"/>
              <w:jc w:val="right"/>
              <w:rPr>
                <w:rFonts w:cs="Arial"/>
              </w:rPr>
            </w:pPr>
            <w:r w:rsidRPr="00FC4B0F">
              <w:rPr>
                <w:rFonts w:cs="Arial"/>
                <w:szCs w:val="20"/>
              </w:rPr>
              <w:t>3</w:t>
            </w:r>
          </w:p>
        </w:tc>
        <w:tc>
          <w:tcPr>
            <w:tcW w:w="850" w:type="dxa"/>
            <w:tcBorders>
              <w:top w:val="nil"/>
              <w:left w:val="nil"/>
              <w:bottom w:val="single" w:sz="4" w:space="0" w:color="auto"/>
              <w:right w:val="single" w:sz="4" w:space="0" w:color="auto"/>
            </w:tcBorders>
            <w:noWrap/>
          </w:tcPr>
          <w:p w14:paraId="429128F9" w14:textId="2C462F72" w:rsidR="00C4523C" w:rsidRPr="00FC4B0F" w:rsidRDefault="00C4523C" w:rsidP="00C4523C">
            <w:pPr>
              <w:spacing w:before="60" w:after="60"/>
              <w:jc w:val="right"/>
              <w:rPr>
                <w:rFonts w:cs="Arial"/>
              </w:rPr>
            </w:pPr>
            <w:r w:rsidRPr="00FC4B0F">
              <w:rPr>
                <w:rFonts w:cs="Arial"/>
                <w:szCs w:val="20"/>
              </w:rPr>
              <w:t>2</w:t>
            </w:r>
          </w:p>
        </w:tc>
        <w:tc>
          <w:tcPr>
            <w:tcW w:w="851" w:type="dxa"/>
            <w:tcBorders>
              <w:top w:val="nil"/>
              <w:left w:val="nil"/>
              <w:bottom w:val="single" w:sz="4" w:space="0" w:color="auto"/>
              <w:right w:val="single" w:sz="4" w:space="0" w:color="auto"/>
            </w:tcBorders>
            <w:noWrap/>
          </w:tcPr>
          <w:p w14:paraId="55DDBF7C" w14:textId="0B104B5C" w:rsidR="00C4523C" w:rsidRPr="00FC4B0F" w:rsidRDefault="00C4523C" w:rsidP="00C4523C">
            <w:pPr>
              <w:spacing w:before="60" w:after="60"/>
              <w:jc w:val="right"/>
              <w:rPr>
                <w:rFonts w:cs="Arial"/>
              </w:rPr>
            </w:pPr>
            <w:r w:rsidRPr="00FC4B0F">
              <w:rPr>
                <w:rFonts w:cs="Arial"/>
                <w:szCs w:val="20"/>
              </w:rPr>
              <w:t>0</w:t>
            </w:r>
          </w:p>
        </w:tc>
        <w:tc>
          <w:tcPr>
            <w:tcW w:w="850" w:type="dxa"/>
            <w:tcBorders>
              <w:top w:val="nil"/>
              <w:left w:val="nil"/>
              <w:bottom w:val="single" w:sz="4" w:space="0" w:color="auto"/>
              <w:right w:val="single" w:sz="4" w:space="0" w:color="auto"/>
            </w:tcBorders>
            <w:noWrap/>
          </w:tcPr>
          <w:p w14:paraId="3707C885" w14:textId="0CB10BA1" w:rsidR="00C4523C" w:rsidRPr="00FC4B0F" w:rsidRDefault="00C4523C" w:rsidP="00C4523C">
            <w:pPr>
              <w:spacing w:before="60" w:after="60"/>
              <w:jc w:val="right"/>
              <w:rPr>
                <w:rFonts w:cs="Arial"/>
              </w:rPr>
            </w:pPr>
            <w:r w:rsidRPr="00FC4B0F">
              <w:rPr>
                <w:rFonts w:cs="Arial"/>
                <w:szCs w:val="20"/>
              </w:rPr>
              <w:t>7</w:t>
            </w:r>
          </w:p>
        </w:tc>
        <w:tc>
          <w:tcPr>
            <w:tcW w:w="850" w:type="dxa"/>
            <w:tcBorders>
              <w:top w:val="nil"/>
              <w:left w:val="nil"/>
              <w:bottom w:val="single" w:sz="4" w:space="0" w:color="auto"/>
              <w:right w:val="single" w:sz="4" w:space="0" w:color="auto"/>
            </w:tcBorders>
            <w:vAlign w:val="bottom"/>
          </w:tcPr>
          <w:p w14:paraId="40A4734D" w14:textId="509A98AD" w:rsidR="00C4523C" w:rsidRPr="00FC4B0F" w:rsidRDefault="00C4523C" w:rsidP="00C4523C">
            <w:pPr>
              <w:spacing w:before="60" w:after="60"/>
              <w:jc w:val="right"/>
              <w:rPr>
                <w:rFonts w:cs="Arial"/>
              </w:rPr>
            </w:pPr>
            <w:r w:rsidRPr="00FC4B0F">
              <w:rPr>
                <w:rFonts w:cs="Arial"/>
                <w:b/>
                <w:bCs/>
                <w:szCs w:val="20"/>
              </w:rPr>
              <w:t>12</w:t>
            </w:r>
          </w:p>
        </w:tc>
      </w:tr>
      <w:tr w:rsidR="00C4523C" w:rsidRPr="00224AA8" w14:paraId="66820E71" w14:textId="77777777" w:rsidTr="00594D14">
        <w:trPr>
          <w:trHeight w:val="255"/>
        </w:trPr>
        <w:tc>
          <w:tcPr>
            <w:tcW w:w="2766" w:type="dxa"/>
            <w:tcBorders>
              <w:top w:val="nil"/>
              <w:left w:val="single" w:sz="4" w:space="0" w:color="auto"/>
              <w:bottom w:val="single" w:sz="4" w:space="0" w:color="auto"/>
              <w:right w:val="single" w:sz="4" w:space="0" w:color="auto"/>
            </w:tcBorders>
            <w:noWrap/>
            <w:hideMark/>
          </w:tcPr>
          <w:p w14:paraId="0B2383B1" w14:textId="77777777" w:rsidR="00C4523C" w:rsidRPr="00224AA8" w:rsidRDefault="00C4523C" w:rsidP="00C4523C">
            <w:pPr>
              <w:spacing w:before="60" w:after="60"/>
            </w:pPr>
            <w:r w:rsidRPr="00224AA8">
              <w:t>Coen</w:t>
            </w:r>
          </w:p>
        </w:tc>
        <w:tc>
          <w:tcPr>
            <w:tcW w:w="915" w:type="dxa"/>
            <w:tcBorders>
              <w:top w:val="nil"/>
              <w:left w:val="nil"/>
              <w:bottom w:val="single" w:sz="4" w:space="0" w:color="auto"/>
              <w:right w:val="single" w:sz="4" w:space="0" w:color="auto"/>
            </w:tcBorders>
            <w:noWrap/>
          </w:tcPr>
          <w:p w14:paraId="6C7FD4F8" w14:textId="0F905CB6" w:rsidR="00C4523C" w:rsidRPr="00FC4B0F" w:rsidRDefault="00C4523C" w:rsidP="00C4523C">
            <w:pPr>
              <w:spacing w:before="60" w:after="60"/>
              <w:jc w:val="right"/>
              <w:rPr>
                <w:rFonts w:cs="Arial"/>
              </w:rPr>
            </w:pPr>
            <w:r w:rsidRPr="00FC4B0F">
              <w:rPr>
                <w:rFonts w:cs="Arial"/>
                <w:szCs w:val="20"/>
              </w:rPr>
              <w:t>0</w:t>
            </w:r>
          </w:p>
        </w:tc>
        <w:tc>
          <w:tcPr>
            <w:tcW w:w="850" w:type="dxa"/>
            <w:tcBorders>
              <w:top w:val="nil"/>
              <w:left w:val="nil"/>
              <w:bottom w:val="single" w:sz="4" w:space="0" w:color="auto"/>
              <w:right w:val="single" w:sz="4" w:space="0" w:color="auto"/>
            </w:tcBorders>
            <w:noWrap/>
          </w:tcPr>
          <w:p w14:paraId="7F1A2CB8" w14:textId="5B97DF36" w:rsidR="00C4523C" w:rsidRPr="00FC4B0F" w:rsidRDefault="00C4523C" w:rsidP="00C4523C">
            <w:pPr>
              <w:spacing w:before="60" w:after="60"/>
              <w:jc w:val="right"/>
              <w:rPr>
                <w:rFonts w:cs="Arial"/>
              </w:rPr>
            </w:pPr>
            <w:r w:rsidRPr="00FC4B0F">
              <w:rPr>
                <w:rFonts w:cs="Arial"/>
                <w:szCs w:val="20"/>
              </w:rPr>
              <w:t>0</w:t>
            </w:r>
          </w:p>
        </w:tc>
        <w:tc>
          <w:tcPr>
            <w:tcW w:w="851" w:type="dxa"/>
            <w:tcBorders>
              <w:top w:val="nil"/>
              <w:left w:val="nil"/>
              <w:bottom w:val="single" w:sz="4" w:space="0" w:color="auto"/>
              <w:right w:val="single" w:sz="4" w:space="0" w:color="auto"/>
            </w:tcBorders>
            <w:noWrap/>
          </w:tcPr>
          <w:p w14:paraId="2A328E26" w14:textId="7B7A5A7B" w:rsidR="00C4523C" w:rsidRPr="00FC4B0F" w:rsidRDefault="00C4523C" w:rsidP="00C4523C">
            <w:pPr>
              <w:spacing w:before="60" w:after="60"/>
              <w:jc w:val="right"/>
              <w:rPr>
                <w:rFonts w:cs="Arial"/>
              </w:rPr>
            </w:pPr>
            <w:r w:rsidRPr="00FC4B0F">
              <w:rPr>
                <w:rFonts w:cs="Arial"/>
                <w:szCs w:val="20"/>
              </w:rPr>
              <w:t>2</w:t>
            </w:r>
          </w:p>
        </w:tc>
        <w:tc>
          <w:tcPr>
            <w:tcW w:w="850" w:type="dxa"/>
            <w:tcBorders>
              <w:top w:val="nil"/>
              <w:left w:val="nil"/>
              <w:bottom w:val="single" w:sz="4" w:space="0" w:color="auto"/>
              <w:right w:val="single" w:sz="4" w:space="0" w:color="auto"/>
            </w:tcBorders>
            <w:noWrap/>
          </w:tcPr>
          <w:p w14:paraId="708412A8" w14:textId="09AAA1AB" w:rsidR="00C4523C" w:rsidRPr="00FC4B0F" w:rsidRDefault="00C4523C" w:rsidP="00C4523C">
            <w:pPr>
              <w:spacing w:before="60" w:after="60"/>
              <w:jc w:val="right"/>
              <w:rPr>
                <w:rFonts w:cs="Arial"/>
              </w:rPr>
            </w:pPr>
            <w:r w:rsidRPr="00FC4B0F">
              <w:rPr>
                <w:rFonts w:cs="Arial"/>
                <w:szCs w:val="20"/>
              </w:rPr>
              <w:t>1</w:t>
            </w:r>
          </w:p>
        </w:tc>
        <w:tc>
          <w:tcPr>
            <w:tcW w:w="850" w:type="dxa"/>
            <w:tcBorders>
              <w:top w:val="nil"/>
              <w:left w:val="nil"/>
              <w:bottom w:val="single" w:sz="4" w:space="0" w:color="auto"/>
              <w:right w:val="single" w:sz="4" w:space="0" w:color="auto"/>
            </w:tcBorders>
            <w:vAlign w:val="bottom"/>
          </w:tcPr>
          <w:p w14:paraId="15CCA27B" w14:textId="58BB5DCB" w:rsidR="00C4523C" w:rsidRPr="00FC4B0F" w:rsidRDefault="00C4523C" w:rsidP="00C4523C">
            <w:pPr>
              <w:spacing w:before="60" w:after="60"/>
              <w:jc w:val="right"/>
              <w:rPr>
                <w:rFonts w:cs="Arial"/>
              </w:rPr>
            </w:pPr>
            <w:r w:rsidRPr="00FC4B0F">
              <w:rPr>
                <w:rFonts w:cs="Arial"/>
                <w:b/>
                <w:bCs/>
                <w:szCs w:val="20"/>
              </w:rPr>
              <w:t>3</w:t>
            </w:r>
          </w:p>
        </w:tc>
      </w:tr>
      <w:tr w:rsidR="00C4523C" w:rsidRPr="00224AA8" w14:paraId="0FDB5502" w14:textId="77777777" w:rsidTr="00594D14">
        <w:trPr>
          <w:trHeight w:val="255"/>
        </w:trPr>
        <w:tc>
          <w:tcPr>
            <w:tcW w:w="2766" w:type="dxa"/>
            <w:tcBorders>
              <w:top w:val="nil"/>
              <w:left w:val="single" w:sz="4" w:space="0" w:color="auto"/>
              <w:bottom w:val="single" w:sz="4" w:space="0" w:color="auto"/>
              <w:right w:val="single" w:sz="4" w:space="0" w:color="auto"/>
            </w:tcBorders>
            <w:noWrap/>
          </w:tcPr>
          <w:p w14:paraId="2670E303" w14:textId="77777777" w:rsidR="00C4523C" w:rsidRPr="00224AA8" w:rsidRDefault="00C4523C" w:rsidP="00C4523C">
            <w:pPr>
              <w:spacing w:before="60" w:after="60"/>
            </w:pPr>
            <w:r w:rsidRPr="00224AA8">
              <w:t>Doomadgee</w:t>
            </w:r>
          </w:p>
        </w:tc>
        <w:tc>
          <w:tcPr>
            <w:tcW w:w="915" w:type="dxa"/>
            <w:tcBorders>
              <w:top w:val="nil"/>
              <w:left w:val="nil"/>
              <w:bottom w:val="single" w:sz="4" w:space="0" w:color="auto"/>
              <w:right w:val="single" w:sz="4" w:space="0" w:color="auto"/>
            </w:tcBorders>
            <w:noWrap/>
          </w:tcPr>
          <w:p w14:paraId="53C1BB63" w14:textId="4AAD01D5" w:rsidR="00C4523C" w:rsidRPr="00FC4B0F" w:rsidRDefault="00C4523C" w:rsidP="00C4523C">
            <w:pPr>
              <w:spacing w:before="60" w:after="60"/>
              <w:jc w:val="right"/>
              <w:rPr>
                <w:rFonts w:cs="Arial"/>
              </w:rPr>
            </w:pPr>
            <w:r w:rsidRPr="00FC4B0F">
              <w:rPr>
                <w:rFonts w:cs="Arial"/>
                <w:szCs w:val="20"/>
              </w:rPr>
              <w:t>2</w:t>
            </w:r>
          </w:p>
        </w:tc>
        <w:tc>
          <w:tcPr>
            <w:tcW w:w="850" w:type="dxa"/>
            <w:tcBorders>
              <w:top w:val="nil"/>
              <w:left w:val="nil"/>
              <w:bottom w:val="single" w:sz="4" w:space="0" w:color="auto"/>
              <w:right w:val="single" w:sz="4" w:space="0" w:color="auto"/>
            </w:tcBorders>
            <w:noWrap/>
          </w:tcPr>
          <w:p w14:paraId="4A3EA1E0" w14:textId="3AED0739" w:rsidR="00C4523C" w:rsidRPr="00FC4B0F" w:rsidRDefault="00C4523C" w:rsidP="00C4523C">
            <w:pPr>
              <w:spacing w:before="60" w:after="60"/>
              <w:jc w:val="right"/>
              <w:rPr>
                <w:rFonts w:cs="Arial"/>
              </w:rPr>
            </w:pPr>
            <w:r w:rsidRPr="00FC4B0F">
              <w:rPr>
                <w:rFonts w:cs="Arial"/>
                <w:szCs w:val="20"/>
              </w:rPr>
              <w:t>0</w:t>
            </w:r>
          </w:p>
        </w:tc>
        <w:tc>
          <w:tcPr>
            <w:tcW w:w="851" w:type="dxa"/>
            <w:tcBorders>
              <w:top w:val="nil"/>
              <w:left w:val="nil"/>
              <w:bottom w:val="single" w:sz="4" w:space="0" w:color="auto"/>
              <w:right w:val="single" w:sz="4" w:space="0" w:color="auto"/>
            </w:tcBorders>
            <w:noWrap/>
          </w:tcPr>
          <w:p w14:paraId="5FD4F134" w14:textId="1832F47C" w:rsidR="00C4523C" w:rsidRPr="00FC4B0F" w:rsidRDefault="00C4523C" w:rsidP="00C4523C">
            <w:pPr>
              <w:spacing w:before="60" w:after="60"/>
              <w:jc w:val="right"/>
              <w:rPr>
                <w:rFonts w:cs="Arial"/>
              </w:rPr>
            </w:pPr>
            <w:r w:rsidRPr="00FC4B0F">
              <w:rPr>
                <w:rFonts w:cs="Arial"/>
                <w:szCs w:val="20"/>
              </w:rPr>
              <w:t>0</w:t>
            </w:r>
          </w:p>
        </w:tc>
        <w:tc>
          <w:tcPr>
            <w:tcW w:w="850" w:type="dxa"/>
            <w:tcBorders>
              <w:top w:val="nil"/>
              <w:left w:val="nil"/>
              <w:bottom w:val="single" w:sz="4" w:space="0" w:color="auto"/>
              <w:right w:val="single" w:sz="4" w:space="0" w:color="auto"/>
            </w:tcBorders>
            <w:noWrap/>
          </w:tcPr>
          <w:p w14:paraId="07364823" w14:textId="4692887C" w:rsidR="00C4523C" w:rsidRPr="00FC4B0F" w:rsidRDefault="00C4523C" w:rsidP="00C4523C">
            <w:pPr>
              <w:spacing w:before="60" w:after="60"/>
              <w:jc w:val="right"/>
              <w:rPr>
                <w:rFonts w:cs="Arial"/>
              </w:rPr>
            </w:pPr>
            <w:r w:rsidRPr="00FC4B0F">
              <w:rPr>
                <w:rFonts w:cs="Arial"/>
                <w:szCs w:val="20"/>
              </w:rPr>
              <w:t>1</w:t>
            </w:r>
          </w:p>
        </w:tc>
        <w:tc>
          <w:tcPr>
            <w:tcW w:w="850" w:type="dxa"/>
            <w:tcBorders>
              <w:top w:val="nil"/>
              <w:left w:val="nil"/>
              <w:bottom w:val="single" w:sz="4" w:space="0" w:color="auto"/>
              <w:right w:val="single" w:sz="4" w:space="0" w:color="auto"/>
            </w:tcBorders>
            <w:vAlign w:val="bottom"/>
          </w:tcPr>
          <w:p w14:paraId="487A1DF0" w14:textId="324DF283" w:rsidR="00C4523C" w:rsidRPr="00FC4B0F" w:rsidRDefault="00C4523C" w:rsidP="00C4523C">
            <w:pPr>
              <w:spacing w:before="60" w:after="60"/>
              <w:jc w:val="right"/>
              <w:rPr>
                <w:rFonts w:cs="Arial"/>
              </w:rPr>
            </w:pPr>
            <w:r w:rsidRPr="00FC4B0F">
              <w:rPr>
                <w:rFonts w:cs="Arial"/>
                <w:b/>
                <w:bCs/>
                <w:szCs w:val="20"/>
              </w:rPr>
              <w:t>3</w:t>
            </w:r>
          </w:p>
        </w:tc>
      </w:tr>
      <w:tr w:rsidR="00C4523C" w:rsidRPr="00224AA8" w14:paraId="625E25DF" w14:textId="77777777" w:rsidTr="00594D14">
        <w:trPr>
          <w:trHeight w:val="255"/>
        </w:trPr>
        <w:tc>
          <w:tcPr>
            <w:tcW w:w="2766" w:type="dxa"/>
            <w:tcBorders>
              <w:top w:val="nil"/>
              <w:left w:val="single" w:sz="4" w:space="0" w:color="auto"/>
              <w:bottom w:val="single" w:sz="4" w:space="0" w:color="auto"/>
              <w:right w:val="single" w:sz="4" w:space="0" w:color="auto"/>
            </w:tcBorders>
            <w:noWrap/>
            <w:hideMark/>
          </w:tcPr>
          <w:p w14:paraId="6C58F8E1" w14:textId="77777777" w:rsidR="00C4523C" w:rsidRPr="00224AA8" w:rsidRDefault="00C4523C" w:rsidP="00C4523C">
            <w:pPr>
              <w:spacing w:before="60" w:after="60"/>
            </w:pPr>
            <w:r w:rsidRPr="00224AA8">
              <w:t>Hope Vale</w:t>
            </w:r>
          </w:p>
        </w:tc>
        <w:tc>
          <w:tcPr>
            <w:tcW w:w="915" w:type="dxa"/>
            <w:tcBorders>
              <w:top w:val="nil"/>
              <w:left w:val="nil"/>
              <w:bottom w:val="single" w:sz="4" w:space="0" w:color="auto"/>
              <w:right w:val="single" w:sz="4" w:space="0" w:color="auto"/>
            </w:tcBorders>
            <w:noWrap/>
          </w:tcPr>
          <w:p w14:paraId="2C50B0B2" w14:textId="6164FA7E" w:rsidR="00C4523C" w:rsidRPr="00FC4B0F" w:rsidRDefault="00C4523C" w:rsidP="00C4523C">
            <w:pPr>
              <w:spacing w:before="60" w:after="60"/>
              <w:jc w:val="right"/>
              <w:rPr>
                <w:rFonts w:cs="Arial"/>
              </w:rPr>
            </w:pPr>
            <w:r w:rsidRPr="00FC4B0F">
              <w:rPr>
                <w:rFonts w:cs="Arial"/>
                <w:szCs w:val="20"/>
              </w:rPr>
              <w:t>3</w:t>
            </w:r>
          </w:p>
        </w:tc>
        <w:tc>
          <w:tcPr>
            <w:tcW w:w="850" w:type="dxa"/>
            <w:tcBorders>
              <w:top w:val="nil"/>
              <w:left w:val="nil"/>
              <w:bottom w:val="single" w:sz="4" w:space="0" w:color="auto"/>
              <w:right w:val="single" w:sz="4" w:space="0" w:color="auto"/>
            </w:tcBorders>
            <w:noWrap/>
          </w:tcPr>
          <w:p w14:paraId="2E97784E" w14:textId="3977ECFB" w:rsidR="00C4523C" w:rsidRPr="00FC4B0F" w:rsidRDefault="00C4523C" w:rsidP="00C4523C">
            <w:pPr>
              <w:spacing w:before="60" w:after="60"/>
              <w:jc w:val="right"/>
              <w:rPr>
                <w:rFonts w:cs="Arial"/>
              </w:rPr>
            </w:pPr>
            <w:r w:rsidRPr="00FC4B0F">
              <w:rPr>
                <w:rFonts w:cs="Arial"/>
                <w:szCs w:val="20"/>
              </w:rPr>
              <w:t>4</w:t>
            </w:r>
          </w:p>
        </w:tc>
        <w:tc>
          <w:tcPr>
            <w:tcW w:w="851" w:type="dxa"/>
            <w:tcBorders>
              <w:top w:val="nil"/>
              <w:left w:val="nil"/>
              <w:bottom w:val="single" w:sz="4" w:space="0" w:color="auto"/>
              <w:right w:val="single" w:sz="4" w:space="0" w:color="auto"/>
            </w:tcBorders>
            <w:noWrap/>
          </w:tcPr>
          <w:p w14:paraId="03EF016F" w14:textId="337A60FF" w:rsidR="00C4523C" w:rsidRPr="00FC4B0F" w:rsidRDefault="00C4523C" w:rsidP="00C4523C">
            <w:pPr>
              <w:spacing w:before="60" w:after="60"/>
              <w:jc w:val="right"/>
              <w:rPr>
                <w:rFonts w:cs="Arial"/>
              </w:rPr>
            </w:pPr>
            <w:r w:rsidRPr="00FC4B0F">
              <w:rPr>
                <w:rFonts w:cs="Arial"/>
                <w:szCs w:val="20"/>
              </w:rPr>
              <w:t>1</w:t>
            </w:r>
          </w:p>
        </w:tc>
        <w:tc>
          <w:tcPr>
            <w:tcW w:w="850" w:type="dxa"/>
            <w:tcBorders>
              <w:top w:val="nil"/>
              <w:left w:val="nil"/>
              <w:bottom w:val="single" w:sz="4" w:space="0" w:color="auto"/>
              <w:right w:val="single" w:sz="4" w:space="0" w:color="auto"/>
            </w:tcBorders>
            <w:noWrap/>
          </w:tcPr>
          <w:p w14:paraId="0316C28A" w14:textId="7141352F" w:rsidR="00C4523C" w:rsidRPr="00FC4B0F" w:rsidRDefault="00C4523C" w:rsidP="00C4523C">
            <w:pPr>
              <w:spacing w:before="60" w:after="60"/>
              <w:jc w:val="right"/>
              <w:rPr>
                <w:rFonts w:cs="Arial"/>
              </w:rPr>
            </w:pPr>
            <w:r w:rsidRPr="00FC4B0F">
              <w:rPr>
                <w:rFonts w:cs="Arial"/>
                <w:szCs w:val="20"/>
              </w:rPr>
              <w:t>1</w:t>
            </w:r>
          </w:p>
        </w:tc>
        <w:tc>
          <w:tcPr>
            <w:tcW w:w="850" w:type="dxa"/>
            <w:tcBorders>
              <w:top w:val="nil"/>
              <w:left w:val="nil"/>
              <w:bottom w:val="single" w:sz="4" w:space="0" w:color="auto"/>
              <w:right w:val="single" w:sz="4" w:space="0" w:color="auto"/>
            </w:tcBorders>
            <w:vAlign w:val="bottom"/>
          </w:tcPr>
          <w:p w14:paraId="1B31D8FD" w14:textId="05919A56" w:rsidR="00C4523C" w:rsidRPr="00FC4B0F" w:rsidRDefault="00C4523C" w:rsidP="00C4523C">
            <w:pPr>
              <w:spacing w:before="60" w:after="60"/>
              <w:jc w:val="right"/>
              <w:rPr>
                <w:rFonts w:cs="Arial"/>
              </w:rPr>
            </w:pPr>
            <w:r w:rsidRPr="00FC4B0F">
              <w:rPr>
                <w:rFonts w:cs="Arial"/>
                <w:b/>
                <w:bCs/>
                <w:szCs w:val="20"/>
              </w:rPr>
              <w:t>9</w:t>
            </w:r>
          </w:p>
        </w:tc>
      </w:tr>
      <w:tr w:rsidR="00C4523C" w:rsidRPr="00224AA8" w14:paraId="1C1C8608" w14:textId="77777777" w:rsidTr="00594D14">
        <w:trPr>
          <w:trHeight w:val="255"/>
        </w:trPr>
        <w:tc>
          <w:tcPr>
            <w:tcW w:w="2766" w:type="dxa"/>
            <w:tcBorders>
              <w:top w:val="nil"/>
              <w:left w:val="single" w:sz="4" w:space="0" w:color="auto"/>
              <w:bottom w:val="single" w:sz="4" w:space="0" w:color="auto"/>
              <w:right w:val="single" w:sz="4" w:space="0" w:color="auto"/>
            </w:tcBorders>
            <w:noWrap/>
          </w:tcPr>
          <w:p w14:paraId="50DFC330" w14:textId="77777777" w:rsidR="00C4523C" w:rsidRPr="00224AA8" w:rsidRDefault="00C4523C" w:rsidP="00C4523C">
            <w:pPr>
              <w:spacing w:before="60" w:after="60"/>
            </w:pPr>
            <w:r w:rsidRPr="00224AA8">
              <w:t>Mossman Gorge</w:t>
            </w:r>
          </w:p>
        </w:tc>
        <w:tc>
          <w:tcPr>
            <w:tcW w:w="915" w:type="dxa"/>
            <w:tcBorders>
              <w:top w:val="nil"/>
              <w:left w:val="nil"/>
              <w:bottom w:val="single" w:sz="4" w:space="0" w:color="auto"/>
              <w:right w:val="single" w:sz="4" w:space="0" w:color="auto"/>
            </w:tcBorders>
            <w:noWrap/>
          </w:tcPr>
          <w:p w14:paraId="334FE6D9" w14:textId="06792CF7" w:rsidR="00C4523C" w:rsidRPr="00FC4B0F" w:rsidRDefault="00C4523C" w:rsidP="00C4523C">
            <w:pPr>
              <w:spacing w:before="60" w:after="60"/>
              <w:jc w:val="right"/>
              <w:rPr>
                <w:rFonts w:cs="Arial"/>
              </w:rPr>
            </w:pPr>
            <w:r w:rsidRPr="00FC4B0F">
              <w:rPr>
                <w:rFonts w:cs="Arial"/>
                <w:szCs w:val="20"/>
              </w:rPr>
              <w:t>1</w:t>
            </w:r>
          </w:p>
        </w:tc>
        <w:tc>
          <w:tcPr>
            <w:tcW w:w="850" w:type="dxa"/>
            <w:tcBorders>
              <w:top w:val="nil"/>
              <w:left w:val="nil"/>
              <w:bottom w:val="single" w:sz="4" w:space="0" w:color="auto"/>
              <w:right w:val="single" w:sz="4" w:space="0" w:color="auto"/>
            </w:tcBorders>
            <w:noWrap/>
          </w:tcPr>
          <w:p w14:paraId="1B57E794" w14:textId="3AA618AB" w:rsidR="00C4523C" w:rsidRPr="00FC4B0F" w:rsidRDefault="00C4523C" w:rsidP="00C4523C">
            <w:pPr>
              <w:spacing w:before="60" w:after="60"/>
              <w:jc w:val="right"/>
              <w:rPr>
                <w:rFonts w:cs="Arial"/>
              </w:rPr>
            </w:pPr>
            <w:r w:rsidRPr="00FC4B0F">
              <w:rPr>
                <w:rFonts w:cs="Arial"/>
                <w:szCs w:val="20"/>
              </w:rPr>
              <w:t>1</w:t>
            </w:r>
          </w:p>
        </w:tc>
        <w:tc>
          <w:tcPr>
            <w:tcW w:w="851" w:type="dxa"/>
            <w:tcBorders>
              <w:top w:val="nil"/>
              <w:left w:val="nil"/>
              <w:bottom w:val="single" w:sz="4" w:space="0" w:color="auto"/>
              <w:right w:val="single" w:sz="4" w:space="0" w:color="auto"/>
            </w:tcBorders>
            <w:noWrap/>
          </w:tcPr>
          <w:p w14:paraId="165BDCF4" w14:textId="439B6C85" w:rsidR="00C4523C" w:rsidRPr="00FC4B0F" w:rsidRDefault="00C4523C" w:rsidP="00C4523C">
            <w:pPr>
              <w:spacing w:before="60" w:after="60"/>
              <w:jc w:val="right"/>
              <w:rPr>
                <w:rFonts w:cs="Arial"/>
              </w:rPr>
            </w:pPr>
            <w:r w:rsidRPr="00FC4B0F">
              <w:rPr>
                <w:rFonts w:cs="Arial"/>
                <w:szCs w:val="20"/>
              </w:rPr>
              <w:t>0</w:t>
            </w:r>
          </w:p>
        </w:tc>
        <w:tc>
          <w:tcPr>
            <w:tcW w:w="850" w:type="dxa"/>
            <w:tcBorders>
              <w:top w:val="nil"/>
              <w:left w:val="nil"/>
              <w:bottom w:val="single" w:sz="4" w:space="0" w:color="auto"/>
              <w:right w:val="single" w:sz="4" w:space="0" w:color="auto"/>
            </w:tcBorders>
            <w:noWrap/>
          </w:tcPr>
          <w:p w14:paraId="5D383B5B" w14:textId="3BFEFDBD" w:rsidR="00C4523C" w:rsidRPr="00FC4B0F" w:rsidRDefault="00C4523C" w:rsidP="00C4523C">
            <w:pPr>
              <w:spacing w:before="60" w:after="60"/>
              <w:jc w:val="right"/>
              <w:rPr>
                <w:rFonts w:cs="Arial"/>
              </w:rPr>
            </w:pPr>
            <w:r w:rsidRPr="00FC4B0F">
              <w:rPr>
                <w:rFonts w:cs="Arial"/>
                <w:szCs w:val="20"/>
              </w:rPr>
              <w:t>0</w:t>
            </w:r>
          </w:p>
        </w:tc>
        <w:tc>
          <w:tcPr>
            <w:tcW w:w="850" w:type="dxa"/>
            <w:tcBorders>
              <w:top w:val="nil"/>
              <w:left w:val="nil"/>
              <w:bottom w:val="single" w:sz="4" w:space="0" w:color="auto"/>
              <w:right w:val="single" w:sz="4" w:space="0" w:color="auto"/>
            </w:tcBorders>
            <w:vAlign w:val="bottom"/>
          </w:tcPr>
          <w:p w14:paraId="5149ED2C" w14:textId="32673A85" w:rsidR="00C4523C" w:rsidRPr="00FC4B0F" w:rsidRDefault="00C4523C" w:rsidP="00C4523C">
            <w:pPr>
              <w:spacing w:before="60" w:after="60"/>
              <w:jc w:val="right"/>
              <w:rPr>
                <w:rFonts w:cs="Arial"/>
              </w:rPr>
            </w:pPr>
            <w:r w:rsidRPr="00FC4B0F">
              <w:rPr>
                <w:rFonts w:cs="Arial"/>
                <w:b/>
                <w:bCs/>
                <w:szCs w:val="20"/>
              </w:rPr>
              <w:t>2</w:t>
            </w:r>
          </w:p>
        </w:tc>
      </w:tr>
      <w:tr w:rsidR="00C4523C" w:rsidRPr="00224AA8" w14:paraId="67B93260" w14:textId="77777777" w:rsidTr="00594D14">
        <w:trPr>
          <w:trHeight w:val="255"/>
        </w:trPr>
        <w:tc>
          <w:tcPr>
            <w:tcW w:w="2766" w:type="dxa"/>
            <w:tcBorders>
              <w:top w:val="single" w:sz="4" w:space="0" w:color="auto"/>
              <w:left w:val="single" w:sz="4" w:space="0" w:color="auto"/>
              <w:bottom w:val="single" w:sz="4" w:space="0" w:color="auto"/>
              <w:right w:val="single" w:sz="4" w:space="0" w:color="auto"/>
            </w:tcBorders>
            <w:noWrap/>
          </w:tcPr>
          <w:p w14:paraId="0D4E9A9B" w14:textId="77777777" w:rsidR="00C4523C" w:rsidRPr="00224AA8" w:rsidRDefault="00C4523C" w:rsidP="00C4523C">
            <w:pPr>
              <w:spacing w:before="60" w:after="60"/>
              <w:rPr>
                <w:b/>
                <w:bCs/>
              </w:rPr>
            </w:pPr>
            <w:r w:rsidRPr="00224AA8">
              <w:rPr>
                <w:b/>
                <w:bCs/>
              </w:rPr>
              <w:t>Total</w:t>
            </w:r>
          </w:p>
        </w:tc>
        <w:tc>
          <w:tcPr>
            <w:tcW w:w="915" w:type="dxa"/>
            <w:tcBorders>
              <w:top w:val="single" w:sz="4" w:space="0" w:color="auto"/>
              <w:left w:val="nil"/>
              <w:bottom w:val="single" w:sz="4" w:space="0" w:color="auto"/>
              <w:right w:val="single" w:sz="4" w:space="0" w:color="auto"/>
            </w:tcBorders>
            <w:noWrap/>
          </w:tcPr>
          <w:p w14:paraId="1B8DDA8B" w14:textId="62C93F5B" w:rsidR="00C4523C" w:rsidRPr="00FC4B0F" w:rsidRDefault="00C4523C" w:rsidP="00C4523C">
            <w:pPr>
              <w:spacing w:before="60" w:after="60"/>
              <w:jc w:val="right"/>
              <w:rPr>
                <w:rFonts w:cs="Arial"/>
                <w:b/>
                <w:bCs/>
              </w:rPr>
            </w:pPr>
            <w:r w:rsidRPr="00FC4B0F">
              <w:rPr>
                <w:rFonts w:cs="Arial"/>
                <w:b/>
                <w:bCs/>
                <w:szCs w:val="20"/>
              </w:rPr>
              <w:t>9</w:t>
            </w:r>
          </w:p>
        </w:tc>
        <w:tc>
          <w:tcPr>
            <w:tcW w:w="850" w:type="dxa"/>
            <w:tcBorders>
              <w:top w:val="single" w:sz="4" w:space="0" w:color="auto"/>
              <w:left w:val="nil"/>
              <w:bottom w:val="single" w:sz="4" w:space="0" w:color="auto"/>
              <w:right w:val="single" w:sz="4" w:space="0" w:color="auto"/>
            </w:tcBorders>
            <w:noWrap/>
          </w:tcPr>
          <w:p w14:paraId="2C05BCBF" w14:textId="0A53A2D9" w:rsidR="00C4523C" w:rsidRPr="00FC4B0F" w:rsidRDefault="00C4523C" w:rsidP="00C4523C">
            <w:pPr>
              <w:spacing w:before="60" w:after="60"/>
              <w:jc w:val="right"/>
              <w:rPr>
                <w:rFonts w:cs="Arial"/>
                <w:b/>
                <w:bCs/>
              </w:rPr>
            </w:pPr>
            <w:r w:rsidRPr="00FC4B0F">
              <w:rPr>
                <w:rFonts w:cs="Arial"/>
                <w:b/>
                <w:bCs/>
                <w:szCs w:val="20"/>
              </w:rPr>
              <w:t>7</w:t>
            </w:r>
          </w:p>
        </w:tc>
        <w:tc>
          <w:tcPr>
            <w:tcW w:w="851" w:type="dxa"/>
            <w:tcBorders>
              <w:top w:val="single" w:sz="4" w:space="0" w:color="auto"/>
              <w:left w:val="nil"/>
              <w:bottom w:val="single" w:sz="4" w:space="0" w:color="auto"/>
              <w:right w:val="single" w:sz="4" w:space="0" w:color="auto"/>
            </w:tcBorders>
            <w:noWrap/>
          </w:tcPr>
          <w:p w14:paraId="7326B257" w14:textId="66E10BFA" w:rsidR="00C4523C" w:rsidRPr="00FC4B0F" w:rsidRDefault="00C4523C" w:rsidP="00C4523C">
            <w:pPr>
              <w:spacing w:before="60" w:after="60"/>
              <w:jc w:val="right"/>
              <w:rPr>
                <w:rFonts w:cs="Arial"/>
                <w:b/>
                <w:bCs/>
              </w:rPr>
            </w:pPr>
            <w:r w:rsidRPr="00FC4B0F">
              <w:rPr>
                <w:rFonts w:cs="Arial"/>
                <w:b/>
                <w:bCs/>
                <w:szCs w:val="20"/>
              </w:rPr>
              <w:t>3</w:t>
            </w:r>
          </w:p>
        </w:tc>
        <w:tc>
          <w:tcPr>
            <w:tcW w:w="850" w:type="dxa"/>
            <w:tcBorders>
              <w:top w:val="single" w:sz="4" w:space="0" w:color="auto"/>
              <w:left w:val="nil"/>
              <w:bottom w:val="single" w:sz="4" w:space="0" w:color="auto"/>
              <w:right w:val="single" w:sz="4" w:space="0" w:color="auto"/>
            </w:tcBorders>
            <w:noWrap/>
          </w:tcPr>
          <w:p w14:paraId="2E94B455" w14:textId="16994700" w:rsidR="00C4523C" w:rsidRPr="00FC4B0F" w:rsidRDefault="00C4523C" w:rsidP="00C4523C">
            <w:pPr>
              <w:spacing w:before="60" w:after="60"/>
              <w:jc w:val="right"/>
              <w:rPr>
                <w:rFonts w:cs="Arial"/>
                <w:b/>
                <w:bCs/>
              </w:rPr>
            </w:pPr>
            <w:r w:rsidRPr="00FC4B0F">
              <w:rPr>
                <w:rFonts w:cs="Arial"/>
                <w:b/>
                <w:bCs/>
                <w:szCs w:val="20"/>
              </w:rPr>
              <w:t>10</w:t>
            </w:r>
          </w:p>
        </w:tc>
        <w:tc>
          <w:tcPr>
            <w:tcW w:w="850" w:type="dxa"/>
            <w:tcBorders>
              <w:top w:val="single" w:sz="4" w:space="0" w:color="auto"/>
              <w:left w:val="nil"/>
              <w:bottom w:val="single" w:sz="4" w:space="0" w:color="auto"/>
              <w:right w:val="single" w:sz="4" w:space="0" w:color="auto"/>
            </w:tcBorders>
            <w:vAlign w:val="bottom"/>
          </w:tcPr>
          <w:p w14:paraId="19D6FD1E" w14:textId="30F82CAB" w:rsidR="00C4523C" w:rsidRPr="00FC4B0F" w:rsidRDefault="00C4523C" w:rsidP="00C4523C">
            <w:pPr>
              <w:spacing w:before="60" w:after="60"/>
              <w:jc w:val="right"/>
              <w:rPr>
                <w:rFonts w:cs="Arial"/>
                <w:b/>
                <w:bCs/>
              </w:rPr>
            </w:pPr>
            <w:r w:rsidRPr="00FC4B0F">
              <w:rPr>
                <w:rFonts w:cs="Arial"/>
                <w:b/>
                <w:bCs/>
                <w:szCs w:val="20"/>
              </w:rPr>
              <w:t>29</w:t>
            </w:r>
          </w:p>
        </w:tc>
      </w:tr>
    </w:tbl>
    <w:p w14:paraId="46CE7BD8" w14:textId="77777777" w:rsidR="006B6F53" w:rsidRPr="00224AA8" w:rsidRDefault="006B6F53" w:rsidP="006B6F53">
      <w:pPr>
        <w:spacing w:after="0"/>
      </w:pPr>
    </w:p>
    <w:p w14:paraId="7A71E7AE" w14:textId="77777777" w:rsidR="006B6F53" w:rsidRPr="00224AA8" w:rsidRDefault="006B6F53" w:rsidP="006B6F53">
      <w:pPr>
        <w:pStyle w:val="Heading5"/>
        <w:rPr>
          <w:sz w:val="24"/>
          <w:szCs w:val="24"/>
        </w:rPr>
      </w:pPr>
      <w:r w:rsidRPr="00224AA8">
        <w:t>Application decisions</w:t>
      </w:r>
    </w:p>
    <w:p w14:paraId="4730501F" w14:textId="77777777" w:rsidR="00C4523C" w:rsidRPr="00224AA8" w:rsidRDefault="00C4523C" w:rsidP="00C4523C">
      <w:r w:rsidRPr="00224AA8">
        <w:t>From 1 July 202</w:t>
      </w:r>
      <w:r>
        <w:t>4</w:t>
      </w:r>
      <w:r w:rsidRPr="00224AA8">
        <w:t xml:space="preserve"> to 30 June 202</w:t>
      </w:r>
      <w:r>
        <w:t>5</w:t>
      </w:r>
      <w:r w:rsidRPr="00224AA8">
        <w:t xml:space="preserve">, a total of </w:t>
      </w:r>
      <w:r>
        <w:t>24</w:t>
      </w:r>
      <w:r w:rsidRPr="00224AA8">
        <w:t xml:space="preserve"> applications were decided:</w:t>
      </w:r>
    </w:p>
    <w:p w14:paraId="237E80F1" w14:textId="77777777" w:rsidR="00C4523C" w:rsidRPr="00224AA8" w:rsidRDefault="00C4523C" w:rsidP="00C4523C">
      <w:pPr>
        <w:pStyle w:val="ListParagraph"/>
        <w:numPr>
          <w:ilvl w:val="0"/>
          <w:numId w:val="21"/>
        </w:numPr>
        <w:tabs>
          <w:tab w:val="right" w:pos="601"/>
          <w:tab w:val="left" w:pos="1026"/>
        </w:tabs>
        <w:spacing w:after="120" w:line="260" w:lineRule="exact"/>
        <w:ind w:left="714" w:hanging="357"/>
      </w:pPr>
      <w:r>
        <w:t>7</w:t>
      </w:r>
      <w:r>
        <w:rPr>
          <w:rStyle w:val="FootnoteReference"/>
        </w:rPr>
        <w:footnoteReference w:id="6"/>
      </w:r>
      <w:r w:rsidRPr="00224AA8">
        <w:t xml:space="preserve"> applications for FRAs and orders</w:t>
      </w:r>
    </w:p>
    <w:p w14:paraId="4725628F" w14:textId="77777777" w:rsidR="00C4523C" w:rsidRPr="00224AA8" w:rsidRDefault="00C4523C" w:rsidP="00C4523C">
      <w:pPr>
        <w:pStyle w:val="ListParagraph"/>
        <w:numPr>
          <w:ilvl w:val="0"/>
          <w:numId w:val="21"/>
        </w:numPr>
        <w:tabs>
          <w:tab w:val="right" w:pos="601"/>
          <w:tab w:val="left" w:pos="1026"/>
        </w:tabs>
        <w:spacing w:after="120" w:line="260" w:lineRule="exact"/>
        <w:ind w:left="714" w:hanging="357"/>
      </w:pPr>
      <w:r>
        <w:t>17</w:t>
      </w:r>
      <w:r w:rsidRPr="00224AA8">
        <w:t xml:space="preserve"> applications for VIMs.</w:t>
      </w:r>
    </w:p>
    <w:p w14:paraId="0042ECF5" w14:textId="77777777" w:rsidR="00C4523C" w:rsidRPr="00224AA8" w:rsidRDefault="00C4523C" w:rsidP="00C4523C">
      <w:pPr>
        <w:spacing w:after="0"/>
      </w:pPr>
    </w:p>
    <w:p w14:paraId="228920CA" w14:textId="77777777" w:rsidR="00C4523C" w:rsidRPr="00224AA8" w:rsidRDefault="00C4523C" w:rsidP="00C4523C">
      <w:pPr>
        <w:spacing w:before="120"/>
      </w:pPr>
      <w:r w:rsidRPr="00224AA8">
        <w:t>Out of the 2</w:t>
      </w:r>
      <w:r>
        <w:t>4</w:t>
      </w:r>
      <w:r w:rsidRPr="00224AA8">
        <w:t xml:space="preserve"> decisions made, </w:t>
      </w:r>
      <w:r>
        <w:t>83</w:t>
      </w:r>
      <w:r w:rsidRPr="00224AA8">
        <w:t>% (2</w:t>
      </w:r>
      <w:r>
        <w:t>0</w:t>
      </w:r>
      <w:r w:rsidRPr="00224AA8">
        <w:t xml:space="preserve">) of all applications were granted, whilst </w:t>
      </w:r>
      <w:r>
        <w:t>4</w:t>
      </w:r>
      <w:r w:rsidRPr="00224AA8">
        <w:t xml:space="preserve"> were refused because the statutory requirements were not met.</w:t>
      </w:r>
    </w:p>
    <w:p w14:paraId="01BB9831" w14:textId="77777777" w:rsidR="00C4523C" w:rsidRPr="00224AA8" w:rsidRDefault="00C4523C" w:rsidP="00C4523C">
      <w:pPr>
        <w:spacing w:before="120"/>
        <w:rPr>
          <w:bCs/>
        </w:rPr>
      </w:pPr>
      <w:r w:rsidRPr="00224AA8">
        <w:rPr>
          <w:bCs/>
        </w:rPr>
        <w:t>Accepted applications to amend or end FRAs or orders were as follows:</w:t>
      </w:r>
    </w:p>
    <w:p w14:paraId="14CA3126" w14:textId="77777777" w:rsidR="00C4523C" w:rsidRPr="00224AA8" w:rsidRDefault="00C4523C" w:rsidP="00C4523C">
      <w:pPr>
        <w:pStyle w:val="ListParagraph"/>
        <w:numPr>
          <w:ilvl w:val="0"/>
          <w:numId w:val="21"/>
        </w:numPr>
        <w:tabs>
          <w:tab w:val="right" w:pos="601"/>
          <w:tab w:val="left" w:pos="1026"/>
        </w:tabs>
        <w:spacing w:after="120" w:line="260" w:lineRule="exact"/>
        <w:ind w:left="714" w:hanging="357"/>
      </w:pPr>
      <w:r>
        <w:t>4</w:t>
      </w:r>
      <w:r w:rsidRPr="00224AA8">
        <w:t xml:space="preserve"> CIM orders ended</w:t>
      </w:r>
    </w:p>
    <w:p w14:paraId="2BCC2BC4" w14:textId="77777777" w:rsidR="00C4523C" w:rsidRPr="00224AA8" w:rsidRDefault="00C4523C" w:rsidP="00C4523C">
      <w:pPr>
        <w:pStyle w:val="ListParagraph"/>
        <w:numPr>
          <w:ilvl w:val="0"/>
          <w:numId w:val="21"/>
        </w:numPr>
        <w:tabs>
          <w:tab w:val="right" w:pos="601"/>
          <w:tab w:val="left" w:pos="1026"/>
        </w:tabs>
        <w:spacing w:after="120" w:line="260" w:lineRule="exact"/>
        <w:ind w:left="714" w:hanging="357"/>
      </w:pPr>
      <w:r>
        <w:t>1</w:t>
      </w:r>
      <w:r w:rsidRPr="00224AA8">
        <w:t xml:space="preserve"> CIM order amended</w:t>
      </w:r>
      <w:r>
        <w:t>.</w:t>
      </w:r>
    </w:p>
    <w:p w14:paraId="52B7C815" w14:textId="77777777" w:rsidR="00C4523C" w:rsidRPr="00224AA8" w:rsidRDefault="00C4523C" w:rsidP="00C4523C">
      <w:pPr>
        <w:spacing w:after="0"/>
      </w:pPr>
    </w:p>
    <w:p w14:paraId="6F83AB36" w14:textId="77777777" w:rsidR="00C4523C" w:rsidRPr="00224AA8" w:rsidRDefault="00C4523C" w:rsidP="00C4523C">
      <w:pPr>
        <w:spacing w:before="120"/>
        <w:rPr>
          <w:bCs/>
        </w:rPr>
      </w:pPr>
      <w:r w:rsidRPr="00224AA8">
        <w:rPr>
          <w:bCs/>
        </w:rPr>
        <w:t>Accepted applications to amend or end VIM agreements were as follows:</w:t>
      </w:r>
    </w:p>
    <w:p w14:paraId="294C31CD" w14:textId="77777777" w:rsidR="00C4523C" w:rsidRPr="00224AA8" w:rsidRDefault="00C4523C" w:rsidP="00C4523C">
      <w:pPr>
        <w:pStyle w:val="ListParagraph"/>
        <w:numPr>
          <w:ilvl w:val="0"/>
          <w:numId w:val="21"/>
        </w:numPr>
        <w:tabs>
          <w:tab w:val="right" w:pos="601"/>
          <w:tab w:val="left" w:pos="1026"/>
        </w:tabs>
        <w:spacing w:after="120" w:line="260" w:lineRule="exact"/>
        <w:ind w:left="714" w:hanging="357"/>
      </w:pPr>
      <w:r w:rsidRPr="00224AA8">
        <w:t>1</w:t>
      </w:r>
      <w:r>
        <w:t>2</w:t>
      </w:r>
      <w:r w:rsidRPr="00224AA8">
        <w:t xml:space="preserve"> VIM agreements ended</w:t>
      </w:r>
    </w:p>
    <w:p w14:paraId="6B1F50A0" w14:textId="77777777" w:rsidR="00C4523C" w:rsidRPr="00224AA8" w:rsidRDefault="00C4523C" w:rsidP="00C4523C">
      <w:pPr>
        <w:pStyle w:val="ListParagraph"/>
        <w:numPr>
          <w:ilvl w:val="0"/>
          <w:numId w:val="21"/>
        </w:numPr>
        <w:tabs>
          <w:tab w:val="right" w:pos="601"/>
          <w:tab w:val="left" w:pos="1026"/>
        </w:tabs>
        <w:spacing w:after="120" w:line="260" w:lineRule="exact"/>
        <w:ind w:left="714" w:hanging="357"/>
      </w:pPr>
      <w:r>
        <w:t>1</w:t>
      </w:r>
      <w:r w:rsidRPr="00224AA8">
        <w:t xml:space="preserve"> VIM agreement amended from 60 percent to 75 percent for the remaining period of the existing agreement</w:t>
      </w:r>
    </w:p>
    <w:p w14:paraId="5CB00578" w14:textId="77777777" w:rsidR="006B6F53" w:rsidRDefault="00C4523C" w:rsidP="00C4523C">
      <w:pPr>
        <w:pStyle w:val="ListParagraph"/>
        <w:numPr>
          <w:ilvl w:val="0"/>
          <w:numId w:val="21"/>
        </w:numPr>
        <w:tabs>
          <w:tab w:val="right" w:pos="601"/>
          <w:tab w:val="left" w:pos="1026"/>
        </w:tabs>
        <w:spacing w:after="120" w:line="260" w:lineRule="exact"/>
        <w:ind w:left="714" w:hanging="357"/>
      </w:pPr>
      <w:r>
        <w:t>2</w:t>
      </w:r>
      <w:r w:rsidRPr="00224AA8">
        <w:t xml:space="preserve"> VIM agreement</w:t>
      </w:r>
      <w:r>
        <w:t>s</w:t>
      </w:r>
      <w:r w:rsidRPr="00224AA8">
        <w:t xml:space="preserve"> amended from </w:t>
      </w:r>
      <w:r>
        <w:t>75</w:t>
      </w:r>
      <w:r w:rsidRPr="00224AA8">
        <w:t xml:space="preserve"> percent to 60 percent for the remaining period of the existing agreement</w:t>
      </w:r>
      <w:r w:rsidR="006B6F53" w:rsidRPr="00224AA8">
        <w:t>.</w:t>
      </w:r>
    </w:p>
    <w:p w14:paraId="422581F2" w14:textId="77777777" w:rsidR="008A54DA" w:rsidRDefault="008A54DA" w:rsidP="008A54DA">
      <w:pPr>
        <w:tabs>
          <w:tab w:val="right" w:pos="601"/>
          <w:tab w:val="left" w:pos="1026"/>
        </w:tabs>
      </w:pPr>
    </w:p>
    <w:p w14:paraId="3690DB81" w14:textId="77777777" w:rsidR="000141CF" w:rsidRPr="008A54DA" w:rsidRDefault="000141CF" w:rsidP="008A54DA">
      <w:pPr>
        <w:tabs>
          <w:tab w:val="right" w:pos="601"/>
          <w:tab w:val="left" w:pos="1026"/>
        </w:tabs>
      </w:pPr>
    </w:p>
    <w:sectPr w:rsidR="000141CF" w:rsidRPr="008A54DA" w:rsidSect="002B07B7">
      <w:headerReference w:type="default" r:id="rId19"/>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6AA9BCD4" w14:textId="77777777" w:rsidR="003668B7" w:rsidRPr="005D6DD0" w:rsidRDefault="003668B7" w:rsidP="003668B7">
      <w:pPr>
        <w:pStyle w:val="FootnoteText"/>
        <w:spacing w:after="0"/>
        <w:rPr>
          <w:sz w:val="16"/>
          <w:szCs w:val="16"/>
        </w:rPr>
      </w:pPr>
      <w:r w:rsidRPr="005D6DD0">
        <w:rPr>
          <w:rStyle w:val="FootnoteReference"/>
          <w:sz w:val="16"/>
          <w:szCs w:val="16"/>
        </w:rPr>
        <w:footnoteRef/>
      </w:r>
      <w:r w:rsidRPr="005D6DD0">
        <w:rPr>
          <w:sz w:val="16"/>
          <w:szCs w:val="16"/>
          <w:vertAlign w:val="superscript"/>
        </w:rPr>
        <w:t xml:space="preserve"> </w:t>
      </w:r>
      <w:r w:rsidRPr="005D6DD0">
        <w:rPr>
          <w:sz w:val="16"/>
          <w:szCs w:val="16"/>
        </w:rPr>
        <w:t xml:space="preserve">Department of Education, Department of </w:t>
      </w:r>
      <w:r w:rsidRPr="008E3248">
        <w:rPr>
          <w:sz w:val="16"/>
          <w:szCs w:val="16"/>
        </w:rPr>
        <w:t>Families, Seniors, Disability Services and Child Safety</w:t>
      </w:r>
      <w:r w:rsidRPr="005D6DD0">
        <w:rPr>
          <w:sz w:val="16"/>
          <w:szCs w:val="16"/>
        </w:rPr>
        <w:t>, Department of Housing</w:t>
      </w:r>
      <w:r>
        <w:rPr>
          <w:sz w:val="16"/>
          <w:szCs w:val="16"/>
        </w:rPr>
        <w:t xml:space="preserve"> and Public Works</w:t>
      </w:r>
      <w:r w:rsidRPr="005D6DD0">
        <w:rPr>
          <w:sz w:val="16"/>
          <w:szCs w:val="16"/>
        </w:rPr>
        <w:t>, Department of Justice and Attorney-General (Queensland Courts) and the Queensland Police Service.</w:t>
      </w:r>
    </w:p>
  </w:footnote>
  <w:footnote w:id="2">
    <w:p w14:paraId="4C0AE89E" w14:textId="77777777" w:rsidR="006B6F53" w:rsidRPr="00AD3FD4" w:rsidRDefault="006B6F53" w:rsidP="006B6F53">
      <w:pPr>
        <w:pStyle w:val="FootnoteText"/>
        <w:spacing w:after="0"/>
        <w:rPr>
          <w:sz w:val="16"/>
          <w:szCs w:val="16"/>
          <w:lang w:val="en-AU"/>
        </w:rPr>
      </w:pPr>
      <w:r w:rsidRPr="005D6DD0">
        <w:rPr>
          <w:rStyle w:val="FootnoteReference"/>
          <w:rFonts w:eastAsiaTheme="majorEastAsia"/>
          <w:sz w:val="16"/>
          <w:szCs w:val="16"/>
        </w:rPr>
        <w:footnoteRef/>
      </w:r>
      <w:r w:rsidRPr="005D6DD0">
        <w:rPr>
          <w:sz w:val="16"/>
          <w:szCs w:val="16"/>
          <w:vertAlign w:val="superscript"/>
        </w:rPr>
        <w:t xml:space="preserve"> </w:t>
      </w:r>
      <w:r w:rsidRPr="005D6DD0">
        <w:rPr>
          <w:rFonts w:eastAsiaTheme="majorEastAsia"/>
          <w:sz w:val="16"/>
          <w:szCs w:val="16"/>
        </w:rPr>
        <w:t xml:space="preserve">Agency notices for the community of Doomadgee are presently received from the Department of Education and the </w:t>
      </w:r>
      <w:r w:rsidRPr="005D6DD0">
        <w:rPr>
          <w:sz w:val="16"/>
          <w:szCs w:val="16"/>
        </w:rPr>
        <w:t>Department</w:t>
      </w:r>
      <w:r>
        <w:rPr>
          <w:sz w:val="16"/>
          <w:szCs w:val="16"/>
        </w:rPr>
        <w:t xml:space="preserve"> of Families, Seniors, Disability Services and Child Safety only.</w:t>
      </w:r>
    </w:p>
  </w:footnote>
  <w:footnote w:id="3">
    <w:p w14:paraId="598AE497" w14:textId="77777777" w:rsidR="006B6F53" w:rsidRPr="005D6DD0" w:rsidRDefault="006B6F53" w:rsidP="006B6F53">
      <w:pPr>
        <w:pStyle w:val="FootnoteText"/>
        <w:spacing w:after="0"/>
        <w:rPr>
          <w:sz w:val="16"/>
          <w:szCs w:val="16"/>
        </w:rPr>
      </w:pPr>
      <w:r w:rsidRPr="005D6DD0">
        <w:rPr>
          <w:rStyle w:val="FootnoteReference"/>
          <w:rFonts w:eastAsiaTheme="majorEastAsia"/>
          <w:sz w:val="16"/>
          <w:szCs w:val="16"/>
        </w:rPr>
        <w:footnoteRef/>
      </w:r>
      <w:r w:rsidRPr="005D6DD0">
        <w:rPr>
          <w:rStyle w:val="FootnoteReference"/>
          <w:rFonts w:eastAsiaTheme="majorEastAsia"/>
          <w:sz w:val="16"/>
          <w:szCs w:val="16"/>
        </w:rPr>
        <w:t xml:space="preserve"> </w:t>
      </w:r>
      <w:r w:rsidRPr="005D6DD0">
        <w:rPr>
          <w:rFonts w:eastAsiaTheme="majorEastAsia"/>
          <w:sz w:val="16"/>
          <w:szCs w:val="16"/>
        </w:rPr>
        <w:t>Descriptions for each type of notice acronym can be found in the glossary.</w:t>
      </w:r>
    </w:p>
  </w:footnote>
  <w:footnote w:id="4">
    <w:p w14:paraId="5DD2E8F6" w14:textId="112A31C4" w:rsidR="00F6196D" w:rsidRPr="007E43F3" w:rsidRDefault="00F6196D" w:rsidP="00F6196D">
      <w:pPr>
        <w:pStyle w:val="FootnoteText"/>
        <w:rPr>
          <w:lang w:val="en-US"/>
        </w:rPr>
      </w:pPr>
      <w:r>
        <w:rPr>
          <w:rStyle w:val="FootnoteReference"/>
        </w:rPr>
        <w:footnoteRef/>
      </w:r>
      <w:r>
        <w:t xml:space="preserve"> </w:t>
      </w:r>
      <w:r w:rsidR="003B6557" w:rsidRPr="005E1B43">
        <w:rPr>
          <w:sz w:val="16"/>
          <w:szCs w:val="16"/>
          <w:lang w:val="en-US"/>
        </w:rPr>
        <w:t>In 2024-25 there w</w:t>
      </w:r>
      <w:r w:rsidR="003B6557">
        <w:rPr>
          <w:sz w:val="16"/>
          <w:szCs w:val="16"/>
          <w:lang w:val="en-US"/>
        </w:rPr>
        <w:t xml:space="preserve">as a total of 2,339 CE activities </w:t>
      </w:r>
      <w:r w:rsidR="003B6557">
        <w:rPr>
          <w:sz w:val="16"/>
          <w:szCs w:val="16"/>
        </w:rPr>
        <w:t xml:space="preserve">undertaken </w:t>
      </w:r>
      <w:r w:rsidR="003B6557" w:rsidRPr="005E1B43">
        <w:rPr>
          <w:sz w:val="16"/>
          <w:szCs w:val="16"/>
        </w:rPr>
        <w:t xml:space="preserve">by the FRC to support clients outside of conference inclusive </w:t>
      </w:r>
      <w:r w:rsidR="003B6557">
        <w:rPr>
          <w:sz w:val="16"/>
          <w:szCs w:val="16"/>
        </w:rPr>
        <w:t xml:space="preserve">of </w:t>
      </w:r>
      <w:r w:rsidR="003B6557" w:rsidRPr="005E1B43">
        <w:rPr>
          <w:sz w:val="16"/>
          <w:szCs w:val="16"/>
        </w:rPr>
        <w:t>contact and non-contact activities</w:t>
      </w:r>
      <w:r w:rsidR="003B6557">
        <w:rPr>
          <w:sz w:val="16"/>
          <w:szCs w:val="16"/>
        </w:rPr>
        <w:t xml:space="preserve"> relating to 840 clients.</w:t>
      </w:r>
    </w:p>
  </w:footnote>
  <w:footnote w:id="5">
    <w:p w14:paraId="32B82F9C" w14:textId="77777777" w:rsidR="006B6F53" w:rsidRPr="005D6DD0" w:rsidRDefault="006B6F53" w:rsidP="006B6F53">
      <w:pPr>
        <w:pStyle w:val="FootnoteText"/>
        <w:spacing w:after="0"/>
        <w:rPr>
          <w:sz w:val="16"/>
          <w:szCs w:val="16"/>
        </w:rPr>
      </w:pPr>
      <w:r w:rsidRPr="005D6DD0">
        <w:rPr>
          <w:rStyle w:val="FootnoteReference"/>
          <w:sz w:val="16"/>
          <w:szCs w:val="16"/>
        </w:rPr>
        <w:footnoteRef/>
      </w:r>
      <w:r w:rsidRPr="005D6DD0">
        <w:rPr>
          <w:rStyle w:val="FootnoteReference"/>
          <w:rFonts w:eastAsiaTheme="majorEastAsia"/>
          <w:sz w:val="16"/>
          <w:szCs w:val="16"/>
        </w:rPr>
        <w:t>.</w:t>
      </w:r>
      <w:r w:rsidRPr="005D6DD0">
        <w:rPr>
          <w:rFonts w:eastAsiaTheme="majorEastAsia"/>
          <w:sz w:val="16"/>
          <w:szCs w:val="16"/>
        </w:rPr>
        <w:t>A client may choose one or more options to reflect their individual reasons and circumstances in participating in voluntary income management and therefore the percentage is derived by using the number of VIM agreements as the divisor.</w:t>
      </w:r>
    </w:p>
  </w:footnote>
  <w:footnote w:id="6">
    <w:p w14:paraId="599B6044" w14:textId="77777777" w:rsidR="00C4523C" w:rsidRPr="007E43F3" w:rsidRDefault="00C4523C" w:rsidP="00C4523C">
      <w:pPr>
        <w:pStyle w:val="FootnoteText"/>
        <w:rPr>
          <w:sz w:val="16"/>
          <w:szCs w:val="16"/>
          <w:lang w:val="en-US"/>
        </w:rPr>
      </w:pPr>
      <w:r w:rsidRPr="0058313B">
        <w:rPr>
          <w:rStyle w:val="FootnoteReference"/>
          <w:sz w:val="16"/>
          <w:szCs w:val="16"/>
        </w:rPr>
        <w:footnoteRef/>
      </w:r>
      <w:r w:rsidRPr="0058313B">
        <w:rPr>
          <w:sz w:val="16"/>
          <w:szCs w:val="16"/>
        </w:rPr>
        <w:t xml:space="preserve"> </w:t>
      </w:r>
      <w:r w:rsidRPr="0058313B">
        <w:rPr>
          <w:sz w:val="16"/>
          <w:szCs w:val="16"/>
          <w:lang w:val="en-US"/>
        </w:rPr>
        <w:t xml:space="preserve">Inclusive of one application </w:t>
      </w:r>
      <w:r>
        <w:rPr>
          <w:sz w:val="16"/>
          <w:szCs w:val="16"/>
          <w:lang w:val="en-US"/>
        </w:rPr>
        <w:t xml:space="preserve">to end a CIM made </w:t>
      </w:r>
      <w:r w:rsidRPr="0058313B">
        <w:rPr>
          <w:sz w:val="16"/>
          <w:szCs w:val="16"/>
          <w:lang w:val="en-US"/>
        </w:rPr>
        <w:t xml:space="preserve">under a decision by order </w:t>
      </w:r>
      <w:r>
        <w:rPr>
          <w:sz w:val="16"/>
          <w:szCs w:val="16"/>
          <w:lang w:val="en-US"/>
        </w:rPr>
        <w:t xml:space="preserve">(s69 of the FRC Act) </w:t>
      </w:r>
      <w:r w:rsidRPr="0058313B">
        <w:rPr>
          <w:sz w:val="16"/>
          <w:szCs w:val="16"/>
          <w:lang w:val="en-US"/>
        </w:rPr>
        <w:t xml:space="preserve">which did not proceed to a hearing as the client was out of community and could not be served the notice to attend the hearing. </w:t>
      </w:r>
      <w:r>
        <w:rPr>
          <w:sz w:val="16"/>
          <w:szCs w:val="16"/>
          <w:lang w:val="en-US"/>
        </w:rPr>
        <w:t>After a period of two months had elapsed the application was</w:t>
      </w:r>
      <w:r w:rsidRPr="0058313B">
        <w:rPr>
          <w:sz w:val="16"/>
          <w:szCs w:val="16"/>
          <w:lang w:val="en-US"/>
        </w:rPr>
        <w:t xml:space="preserve"> refused under section 101 of the FRC</w:t>
      </w:r>
      <w:r>
        <w:rPr>
          <w:sz w:val="16"/>
          <w:szCs w:val="16"/>
          <w:lang w:val="en-US"/>
        </w:rPr>
        <w:t xml:space="preserve"> Act</w:t>
      </w:r>
      <w:r w:rsidRPr="0058313B">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9386" w14:textId="77777777" w:rsidR="008A54DA" w:rsidRDefault="008A54DA" w:rsidP="008A54DA">
    <w:pPr>
      <w:pStyle w:val="Header"/>
    </w:pPr>
  </w:p>
  <w:p w14:paraId="43087344" w14:textId="77777777" w:rsidR="008A54DA" w:rsidRDefault="008A54DA" w:rsidP="008A54DA">
    <w:pPr>
      <w:pStyle w:val="Header"/>
    </w:pPr>
  </w:p>
  <w:p w14:paraId="363ACDA6" w14:textId="77777777" w:rsidR="008A54DA" w:rsidRDefault="008A54DA" w:rsidP="008A54DA">
    <w:pPr>
      <w:pStyle w:val="Header"/>
    </w:pPr>
  </w:p>
  <w:p w14:paraId="08F019E6" w14:textId="77777777" w:rsidR="008A54DA" w:rsidRDefault="008A54DA" w:rsidP="008A54DA">
    <w:pPr>
      <w:pStyle w:val="Header"/>
    </w:pPr>
  </w:p>
  <w:p w14:paraId="7E1E2FB1" w14:textId="77777777" w:rsidR="008A54DA" w:rsidRDefault="008A54DA" w:rsidP="008A54DA">
    <w:pPr>
      <w:pStyle w:val="Header"/>
    </w:pPr>
  </w:p>
  <w:p w14:paraId="6718A0C5" w14:textId="77777777" w:rsidR="008A54DA" w:rsidRDefault="008A54DA" w:rsidP="008A54DA">
    <w:pPr>
      <w:pStyle w:val="Header"/>
    </w:pPr>
    <w:r>
      <w:t>Non-financial performance outcomes</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51430"/>
    <w:rsid w:val="00152023"/>
    <w:rsid w:val="001532C6"/>
    <w:rsid w:val="00153BB0"/>
    <w:rsid w:val="00155B09"/>
    <w:rsid w:val="001569A9"/>
    <w:rsid w:val="001606AF"/>
    <w:rsid w:val="00160B0D"/>
    <w:rsid w:val="001615FF"/>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2F7B"/>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49BA"/>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2F8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A54DA"/>
    <w:rsid w:val="008B04C0"/>
    <w:rsid w:val="008B05C3"/>
    <w:rsid w:val="008B1B07"/>
    <w:rsid w:val="008B1F92"/>
    <w:rsid w:val="008B26F5"/>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0E94"/>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5816"/>
    <w:rsid w:val="00DB6202"/>
    <w:rsid w:val="00DB76DC"/>
    <w:rsid w:val="00DC0DE7"/>
    <w:rsid w:val="00DC1EE3"/>
    <w:rsid w:val="00DC21CC"/>
    <w:rsid w:val="00DC26B1"/>
    <w:rsid w:val="00DC41CF"/>
    <w:rsid w:val="00DC52B9"/>
    <w:rsid w:val="00DC6324"/>
    <w:rsid w:val="00DC6583"/>
    <w:rsid w:val="00DC6689"/>
    <w:rsid w:val="00DC671E"/>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4D3"/>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91D"/>
    <w:rsid w:val="00F27C8E"/>
    <w:rsid w:val="00F306B5"/>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87EE8"/>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4001</Words>
  <Characters>19408</Characters>
  <Application>Microsoft Office Word</Application>
  <DocSecurity>0</DocSecurity>
  <Lines>1078</Lines>
  <Paragraphs>900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2</cp:revision>
  <cp:lastPrinted>2025-10-29T06:50:00Z</cp:lastPrinted>
  <dcterms:created xsi:type="dcterms:W3CDTF">2025-11-11T00:40:00Z</dcterms:created>
  <dcterms:modified xsi:type="dcterms:W3CDTF">2025-11-11T00:40:00Z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